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41AF" w14:textId="546C0B68" w:rsidR="00D21222" w:rsidRDefault="0047127A" w:rsidP="0047127A">
      <w:pPr>
        <w:tabs>
          <w:tab w:val="left" w:pos="1440"/>
          <w:tab w:val="left" w:pos="4680"/>
          <w:tab w:val="center" w:pos="7200"/>
        </w:tabs>
        <w:spacing w:after="0"/>
        <w:jc w:val="center"/>
        <w:rPr>
          <w:sz w:val="36"/>
        </w:rPr>
      </w:pPr>
      <w:bookmarkStart w:id="0" w:name="MarkDocLoc"/>
      <w:bookmarkEnd w:id="0"/>
      <w:r>
        <w:rPr>
          <w:b/>
          <w:sz w:val="36"/>
        </w:rPr>
        <w:t>IN THE SUPREME COURT OF CALIFORNIA</w:t>
      </w:r>
    </w:p>
    <w:p w14:paraId="4FFE7450" w14:textId="6FC1119A" w:rsidR="0047127A" w:rsidRDefault="0047127A" w:rsidP="0047127A">
      <w:pPr>
        <w:tabs>
          <w:tab w:val="left" w:pos="1440"/>
          <w:tab w:val="left" w:pos="4680"/>
          <w:tab w:val="center" w:pos="7200"/>
        </w:tabs>
        <w:spacing w:after="0"/>
        <w:jc w:val="center"/>
      </w:pPr>
    </w:p>
    <w:p w14:paraId="5CCD3A67" w14:textId="0E47E87D" w:rsidR="0047127A" w:rsidRDefault="0047127A" w:rsidP="0047127A">
      <w:pPr>
        <w:tabs>
          <w:tab w:val="left" w:pos="1440"/>
          <w:tab w:val="left" w:pos="4680"/>
          <w:tab w:val="center" w:pos="7200"/>
        </w:tabs>
        <w:spacing w:after="0"/>
        <w:jc w:val="center"/>
      </w:pPr>
      <w:r>
        <w:t>THE PEOPLE</w:t>
      </w:r>
      <w:r w:rsidR="00731739">
        <w:t>,</w:t>
      </w:r>
    </w:p>
    <w:p w14:paraId="40D968FC" w14:textId="77AEC738" w:rsidR="0047127A" w:rsidRDefault="0047127A" w:rsidP="0047127A">
      <w:pPr>
        <w:tabs>
          <w:tab w:val="left" w:pos="1440"/>
          <w:tab w:val="left" w:pos="4680"/>
          <w:tab w:val="center" w:pos="7200"/>
        </w:tabs>
        <w:spacing w:after="0"/>
        <w:jc w:val="center"/>
      </w:pPr>
      <w:r>
        <w:t>Plaintiff and Respondent</w:t>
      </w:r>
      <w:r w:rsidR="00731739">
        <w:t>,</w:t>
      </w:r>
    </w:p>
    <w:p w14:paraId="24A5FA0A" w14:textId="62FC1A55" w:rsidR="0047127A" w:rsidRDefault="0047127A" w:rsidP="0047127A">
      <w:pPr>
        <w:tabs>
          <w:tab w:val="left" w:pos="1440"/>
          <w:tab w:val="left" w:pos="4680"/>
          <w:tab w:val="center" w:pos="7200"/>
        </w:tabs>
        <w:spacing w:after="0"/>
        <w:jc w:val="center"/>
      </w:pPr>
      <w:r>
        <w:t>v.</w:t>
      </w:r>
    </w:p>
    <w:p w14:paraId="7C8B0771" w14:textId="071D97F3" w:rsidR="0047127A" w:rsidRDefault="0047127A" w:rsidP="0047127A">
      <w:pPr>
        <w:tabs>
          <w:tab w:val="left" w:pos="1440"/>
          <w:tab w:val="left" w:pos="4680"/>
          <w:tab w:val="center" w:pos="7200"/>
        </w:tabs>
        <w:spacing w:after="0"/>
        <w:jc w:val="center"/>
      </w:pPr>
      <w:r>
        <w:t>CODY WADE HENSON</w:t>
      </w:r>
      <w:r w:rsidR="00731739">
        <w:t>,</w:t>
      </w:r>
    </w:p>
    <w:p w14:paraId="7B4DB3B0" w14:textId="0C527009" w:rsidR="0047127A" w:rsidRDefault="0047127A" w:rsidP="0047127A">
      <w:pPr>
        <w:tabs>
          <w:tab w:val="left" w:pos="1440"/>
          <w:tab w:val="left" w:pos="4680"/>
          <w:tab w:val="center" w:pos="7200"/>
        </w:tabs>
        <w:spacing w:after="0"/>
        <w:jc w:val="center"/>
      </w:pPr>
      <w:r>
        <w:t>Defendant and Appellant.</w:t>
      </w:r>
    </w:p>
    <w:p w14:paraId="51A0C73C" w14:textId="20082AF5" w:rsidR="0047127A" w:rsidRDefault="0047127A" w:rsidP="0047127A">
      <w:pPr>
        <w:tabs>
          <w:tab w:val="left" w:pos="1440"/>
          <w:tab w:val="left" w:pos="4680"/>
          <w:tab w:val="center" w:pos="7200"/>
        </w:tabs>
        <w:spacing w:after="0"/>
        <w:jc w:val="center"/>
      </w:pPr>
    </w:p>
    <w:p w14:paraId="7464AA87" w14:textId="6FD5074A" w:rsidR="0047127A" w:rsidRDefault="0047127A" w:rsidP="0047127A">
      <w:pPr>
        <w:tabs>
          <w:tab w:val="left" w:pos="1440"/>
          <w:tab w:val="left" w:pos="4680"/>
          <w:tab w:val="center" w:pos="7200"/>
        </w:tabs>
        <w:spacing w:after="0"/>
        <w:jc w:val="center"/>
      </w:pPr>
      <w:r>
        <w:t>S252702</w:t>
      </w:r>
    </w:p>
    <w:p w14:paraId="5A858CBB" w14:textId="5074BCAC" w:rsidR="0047127A" w:rsidRDefault="0047127A" w:rsidP="0047127A">
      <w:pPr>
        <w:tabs>
          <w:tab w:val="left" w:pos="1440"/>
          <w:tab w:val="left" w:pos="4680"/>
          <w:tab w:val="center" w:pos="7200"/>
        </w:tabs>
        <w:spacing w:after="0"/>
        <w:jc w:val="center"/>
      </w:pPr>
    </w:p>
    <w:p w14:paraId="2976EB0D" w14:textId="4EED58E6" w:rsidR="0047127A" w:rsidRDefault="0047127A" w:rsidP="0047127A">
      <w:pPr>
        <w:tabs>
          <w:tab w:val="left" w:pos="1440"/>
          <w:tab w:val="left" w:pos="4680"/>
          <w:tab w:val="center" w:pos="7200"/>
        </w:tabs>
        <w:spacing w:after="0"/>
        <w:jc w:val="center"/>
      </w:pPr>
      <w:r>
        <w:t>Fifth Appellate District</w:t>
      </w:r>
    </w:p>
    <w:p w14:paraId="02785DC7" w14:textId="7AA1406F" w:rsidR="0047127A" w:rsidRDefault="0047127A" w:rsidP="0047127A">
      <w:pPr>
        <w:tabs>
          <w:tab w:val="left" w:pos="1440"/>
          <w:tab w:val="left" w:pos="4680"/>
          <w:tab w:val="center" w:pos="7200"/>
        </w:tabs>
        <w:spacing w:after="0"/>
        <w:jc w:val="center"/>
      </w:pPr>
      <w:r>
        <w:t>F075101</w:t>
      </w:r>
    </w:p>
    <w:p w14:paraId="1731E0BB" w14:textId="6F8729E4" w:rsidR="0047127A" w:rsidRDefault="0047127A" w:rsidP="0047127A">
      <w:pPr>
        <w:tabs>
          <w:tab w:val="left" w:pos="1440"/>
          <w:tab w:val="left" w:pos="4680"/>
          <w:tab w:val="center" w:pos="7200"/>
        </w:tabs>
        <w:spacing w:after="0"/>
        <w:jc w:val="center"/>
      </w:pPr>
    </w:p>
    <w:p w14:paraId="2F5F065E" w14:textId="32D72C76" w:rsidR="0047127A" w:rsidRDefault="0047127A" w:rsidP="0047127A">
      <w:pPr>
        <w:tabs>
          <w:tab w:val="left" w:pos="1440"/>
          <w:tab w:val="left" w:pos="4680"/>
          <w:tab w:val="center" w:pos="7200"/>
        </w:tabs>
        <w:spacing w:after="0"/>
        <w:jc w:val="center"/>
      </w:pPr>
      <w:r>
        <w:t>Fresno County</w:t>
      </w:r>
      <w:r w:rsidR="00731739">
        <w:t xml:space="preserve"> Superior Court</w:t>
      </w:r>
    </w:p>
    <w:p w14:paraId="513F3588" w14:textId="259026A9" w:rsidR="0047127A" w:rsidRDefault="005F5247" w:rsidP="0047127A">
      <w:pPr>
        <w:tabs>
          <w:tab w:val="left" w:pos="1440"/>
          <w:tab w:val="left" w:pos="4680"/>
          <w:tab w:val="center" w:pos="7200"/>
        </w:tabs>
        <w:spacing w:after="0"/>
        <w:jc w:val="center"/>
      </w:pPr>
      <w:r w:rsidRPr="005F5247">
        <w:t>F16901499</w:t>
      </w:r>
      <w:r w:rsidR="008248C0">
        <w:t>, F16903119</w:t>
      </w:r>
    </w:p>
    <w:p w14:paraId="4F3A6B52" w14:textId="0F340D7F" w:rsidR="0047127A" w:rsidRDefault="0047127A" w:rsidP="0047127A">
      <w:pPr>
        <w:pBdr>
          <w:bottom w:val="single" w:sz="4" w:space="1" w:color="auto"/>
        </w:pBdr>
        <w:tabs>
          <w:tab w:val="left" w:pos="1440"/>
          <w:tab w:val="left" w:pos="4680"/>
          <w:tab w:val="center" w:pos="7200"/>
        </w:tabs>
        <w:spacing w:after="0"/>
        <w:jc w:val="center"/>
      </w:pPr>
    </w:p>
    <w:p w14:paraId="46EC5FCB" w14:textId="77777777" w:rsidR="0047127A" w:rsidRDefault="0047127A" w:rsidP="0047127A">
      <w:pPr>
        <w:tabs>
          <w:tab w:val="left" w:pos="1440"/>
          <w:tab w:val="left" w:pos="4680"/>
          <w:tab w:val="center" w:pos="7200"/>
        </w:tabs>
        <w:spacing w:after="0"/>
        <w:jc w:val="center"/>
      </w:pPr>
      <w:bookmarkStart w:id="1" w:name="Return"/>
      <w:bookmarkEnd w:id="1"/>
    </w:p>
    <w:p w14:paraId="7523D000" w14:textId="1B8B27E5" w:rsidR="0047127A" w:rsidRDefault="00F209EB" w:rsidP="0047127A">
      <w:pPr>
        <w:tabs>
          <w:tab w:val="left" w:pos="1440"/>
          <w:tab w:val="left" w:pos="4680"/>
          <w:tab w:val="center" w:pos="7200"/>
        </w:tabs>
        <w:spacing w:after="0"/>
        <w:jc w:val="center"/>
      </w:pPr>
      <w:r>
        <w:t>August 1</w:t>
      </w:r>
      <w:r w:rsidR="0047127A">
        <w:t>, 2022</w:t>
      </w:r>
    </w:p>
    <w:p w14:paraId="79EF875C" w14:textId="77777777" w:rsidR="0047127A" w:rsidRDefault="0047127A" w:rsidP="0047127A">
      <w:pPr>
        <w:tabs>
          <w:tab w:val="left" w:pos="1440"/>
          <w:tab w:val="left" w:pos="4680"/>
          <w:tab w:val="center" w:pos="7200"/>
        </w:tabs>
        <w:spacing w:after="0"/>
        <w:jc w:val="center"/>
      </w:pPr>
    </w:p>
    <w:p w14:paraId="7528BBE5" w14:textId="319E8895" w:rsidR="0047127A" w:rsidRDefault="0047127A" w:rsidP="0047127A">
      <w:pPr>
        <w:tabs>
          <w:tab w:val="left" w:pos="1440"/>
          <w:tab w:val="left" w:pos="4680"/>
          <w:tab w:val="center" w:pos="7200"/>
        </w:tabs>
        <w:spacing w:after="0"/>
        <w:jc w:val="left"/>
      </w:pPr>
      <w:r>
        <w:t xml:space="preserve">Justice Jenkins authored the opinion of the Court, in which </w:t>
      </w:r>
      <w:r w:rsidR="00D91CDB" w:rsidRPr="0047035F">
        <w:t>Chief Justice Cantil-Sakauye</w:t>
      </w:r>
      <w:r w:rsidR="00D91CDB">
        <w:t xml:space="preserve">, </w:t>
      </w:r>
      <w:r w:rsidR="000A309D">
        <w:t>Justice Corrigan</w:t>
      </w:r>
      <w:r w:rsidR="00D91CDB">
        <w:t>,</w:t>
      </w:r>
      <w:r w:rsidR="000A309D">
        <w:t xml:space="preserve"> and </w:t>
      </w:r>
      <w:r w:rsidR="00D91CDB">
        <w:t xml:space="preserve">Justice </w:t>
      </w:r>
      <w:r w:rsidR="000A309D">
        <w:t>Guerrero</w:t>
      </w:r>
      <w:r>
        <w:t xml:space="preserve"> concurred.</w:t>
      </w:r>
    </w:p>
    <w:p w14:paraId="055E3F33" w14:textId="0BAB29EC" w:rsidR="000A309D" w:rsidRDefault="000A309D" w:rsidP="0047127A">
      <w:pPr>
        <w:tabs>
          <w:tab w:val="left" w:pos="1440"/>
          <w:tab w:val="left" w:pos="4680"/>
          <w:tab w:val="center" w:pos="7200"/>
        </w:tabs>
        <w:spacing w:after="0"/>
        <w:jc w:val="left"/>
      </w:pPr>
    </w:p>
    <w:p w14:paraId="40740486" w14:textId="3678107E" w:rsidR="000A309D" w:rsidRDefault="000A309D" w:rsidP="000A309D">
      <w:pPr>
        <w:pBdr>
          <w:bottom w:val="single" w:sz="4" w:space="1" w:color="auto"/>
        </w:pBdr>
        <w:tabs>
          <w:tab w:val="left" w:pos="1440"/>
          <w:tab w:val="left" w:pos="4680"/>
          <w:tab w:val="center" w:pos="7200"/>
        </w:tabs>
        <w:spacing w:after="0"/>
        <w:jc w:val="left"/>
      </w:pPr>
      <w:r w:rsidRPr="00FB3E90">
        <w:t xml:space="preserve">Justice </w:t>
      </w:r>
      <w:r>
        <w:t>Kruger</w:t>
      </w:r>
      <w:r w:rsidRPr="00FB3E90">
        <w:t xml:space="preserve"> </w:t>
      </w:r>
      <w:r>
        <w:t>filed</w:t>
      </w:r>
      <w:r w:rsidRPr="00FB3E90">
        <w:t xml:space="preserve"> a </w:t>
      </w:r>
      <w:r>
        <w:t xml:space="preserve">dissenting </w:t>
      </w:r>
      <w:r w:rsidRPr="00FB3E90">
        <w:t>opinion</w:t>
      </w:r>
      <w:r>
        <w:t>,</w:t>
      </w:r>
      <w:r w:rsidRPr="00FB3E90">
        <w:t xml:space="preserve"> in which Justice</w:t>
      </w:r>
      <w:r>
        <w:t xml:space="preserve"> Liu and </w:t>
      </w:r>
      <w:r w:rsidR="00D91CDB">
        <w:t xml:space="preserve">Justice </w:t>
      </w:r>
      <w:r>
        <w:t>Groban</w:t>
      </w:r>
      <w:r w:rsidRPr="00FB3E90">
        <w:t xml:space="preserve"> concurred.</w:t>
      </w:r>
    </w:p>
    <w:p w14:paraId="36BD3A8D" w14:textId="77777777" w:rsidR="0047127A" w:rsidRDefault="0047127A" w:rsidP="0047127A">
      <w:pPr>
        <w:pBdr>
          <w:bottom w:val="single" w:sz="4" w:space="1" w:color="auto"/>
        </w:pBdr>
        <w:tabs>
          <w:tab w:val="left" w:pos="1440"/>
          <w:tab w:val="left" w:pos="4680"/>
          <w:tab w:val="center" w:pos="7200"/>
        </w:tabs>
        <w:spacing w:after="0"/>
        <w:jc w:val="left"/>
      </w:pPr>
    </w:p>
    <w:p w14:paraId="52EBC0D6" w14:textId="77777777" w:rsidR="0047127A" w:rsidRDefault="0047127A">
      <w:pPr>
        <w:tabs>
          <w:tab w:val="left" w:pos="1440"/>
          <w:tab w:val="left" w:pos="4680"/>
          <w:tab w:val="center" w:pos="7200"/>
        </w:tabs>
        <w:spacing w:line="480" w:lineRule="atLeast"/>
        <w:sectPr w:rsidR="0047127A" w:rsidSect="0047127A">
          <w:headerReference w:type="default" r:id="rId7"/>
          <w:footerReference w:type="default" r:id="rId8"/>
          <w:pgSz w:w="12240" w:h="15840"/>
          <w:pgMar w:top="1800" w:right="2160" w:bottom="1440" w:left="2160" w:header="720" w:footer="720" w:gutter="0"/>
          <w:cols w:space="720"/>
          <w:titlePg/>
          <w:docGrid w:linePitch="367"/>
        </w:sectPr>
      </w:pPr>
    </w:p>
    <w:p w14:paraId="32CAC3F5" w14:textId="655EC3EB" w:rsidR="0047127A" w:rsidRDefault="0047127A" w:rsidP="0047127A">
      <w:pPr>
        <w:tabs>
          <w:tab w:val="left" w:pos="1440"/>
          <w:tab w:val="left" w:pos="4680"/>
          <w:tab w:val="center" w:pos="7200"/>
        </w:tabs>
        <w:jc w:val="center"/>
      </w:pPr>
      <w:r>
        <w:lastRenderedPageBreak/>
        <w:t>PEOPLE v. HENSON</w:t>
      </w:r>
    </w:p>
    <w:p w14:paraId="7F8F0DBF" w14:textId="1C8FF892" w:rsidR="0047127A" w:rsidRDefault="0047127A" w:rsidP="0047127A">
      <w:pPr>
        <w:tabs>
          <w:tab w:val="left" w:pos="1440"/>
          <w:tab w:val="left" w:pos="4680"/>
          <w:tab w:val="center" w:pos="7200"/>
        </w:tabs>
        <w:jc w:val="center"/>
      </w:pPr>
      <w:r>
        <w:t>S252702</w:t>
      </w:r>
    </w:p>
    <w:p w14:paraId="5A3FCA1C" w14:textId="5C39828A" w:rsidR="0047127A" w:rsidRDefault="0047127A" w:rsidP="0047127A">
      <w:pPr>
        <w:tabs>
          <w:tab w:val="left" w:pos="1440"/>
          <w:tab w:val="left" w:pos="4680"/>
          <w:tab w:val="center" w:pos="7200"/>
        </w:tabs>
        <w:jc w:val="center"/>
      </w:pPr>
    </w:p>
    <w:p w14:paraId="2551D754" w14:textId="54F5EE09" w:rsidR="0047127A" w:rsidRDefault="0047127A" w:rsidP="0047127A">
      <w:pPr>
        <w:tabs>
          <w:tab w:val="left" w:pos="1440"/>
          <w:tab w:val="left" w:pos="4680"/>
          <w:tab w:val="center" w:pos="7200"/>
        </w:tabs>
        <w:jc w:val="center"/>
      </w:pPr>
      <w:r>
        <w:t>Opinion of the Court by Jenkins, J.</w:t>
      </w:r>
    </w:p>
    <w:p w14:paraId="79B9C4E7" w14:textId="77777777" w:rsidR="0047127A" w:rsidRPr="0047127A" w:rsidRDefault="0047127A" w:rsidP="0047127A">
      <w:pPr>
        <w:tabs>
          <w:tab w:val="left" w:pos="1440"/>
          <w:tab w:val="left" w:pos="4680"/>
          <w:tab w:val="center" w:pos="7200"/>
        </w:tabs>
        <w:jc w:val="center"/>
      </w:pPr>
    </w:p>
    <w:p w14:paraId="4367AC92" w14:textId="204A432F" w:rsidR="000B2BE9" w:rsidRPr="0047127A" w:rsidRDefault="007C5F62" w:rsidP="0047127A">
      <w:pPr>
        <w:tabs>
          <w:tab w:val="left" w:pos="1440"/>
        </w:tabs>
        <w:ind w:firstLine="720"/>
      </w:pPr>
      <w:bookmarkStart w:id="2" w:name="mainstory"/>
      <w:bookmarkStart w:id="3" w:name="_Hlk55409092"/>
      <w:bookmarkEnd w:id="2"/>
      <w:r w:rsidRPr="0047127A">
        <w:t>Penal Code</w:t>
      </w:r>
      <w:r w:rsidRPr="0047127A">
        <w:rPr>
          <w:rStyle w:val="FootnoteReference"/>
        </w:rPr>
        <w:footnoteReference w:id="2"/>
      </w:r>
      <w:r w:rsidRPr="0047127A">
        <w:t xml:space="preserve"> s</w:t>
      </w:r>
      <w:r w:rsidR="009064ED" w:rsidRPr="0047127A">
        <w:t xml:space="preserve">ection 954 provides in relevant part:  </w:t>
      </w:r>
      <w:bookmarkStart w:id="4" w:name="_Hlk56091119"/>
      <w:r w:rsidR="009064ED" w:rsidRPr="0047127A">
        <w:t>“</w:t>
      </w:r>
      <w:r w:rsidR="00996F15" w:rsidRPr="0047127A">
        <w:t xml:space="preserve">[1] </w:t>
      </w:r>
      <w:r w:rsidR="009064ED" w:rsidRPr="0047127A">
        <w:t>An accusatory pleading may charge two or more different offenses connected together in their commission, or different statements of the same offense</w:t>
      </w:r>
      <w:r w:rsidR="0057510C" w:rsidRPr="0047127A">
        <w:t>[,]</w:t>
      </w:r>
      <w:r w:rsidR="009064ED" w:rsidRPr="0047127A">
        <w:t xml:space="preserve"> or two or more different offenses of the same class of crimes or offenses, under separate counts, and</w:t>
      </w:r>
      <w:r w:rsidR="000B2BE9" w:rsidRPr="0047127A">
        <w:t xml:space="preserve"> </w:t>
      </w:r>
      <w:r w:rsidR="00996F15" w:rsidRPr="0047127A">
        <w:t xml:space="preserve">[2] </w:t>
      </w:r>
      <w:bookmarkStart w:id="5" w:name="_Hlk57380664"/>
      <w:r w:rsidR="009064ED" w:rsidRPr="0047127A">
        <w:t>if two or more accusatory pleadings are filed in such cases in the same court, the court may order them to be consolidated</w:t>
      </w:r>
      <w:bookmarkEnd w:id="5"/>
      <w:r w:rsidR="009064ED" w:rsidRPr="0047127A">
        <w:t>.”</w:t>
      </w:r>
      <w:bookmarkEnd w:id="3"/>
      <w:bookmarkEnd w:id="4"/>
      <w:r w:rsidR="0004423A" w:rsidRPr="0047127A">
        <w:t xml:space="preserve">  </w:t>
      </w:r>
      <w:r w:rsidR="000B2BE9" w:rsidRPr="0047127A">
        <w:t>As is evident</w:t>
      </w:r>
      <w:r w:rsidR="00996F15" w:rsidRPr="0047127A">
        <w:t xml:space="preserve"> from </w:t>
      </w:r>
      <w:r w:rsidR="00371CBC" w:rsidRPr="0047127A">
        <w:t>our</w:t>
      </w:r>
      <w:r w:rsidR="00996F15" w:rsidRPr="0047127A">
        <w:t xml:space="preserve"> </w:t>
      </w:r>
      <w:r w:rsidR="0057510C" w:rsidRPr="0047127A">
        <w:t>insertion of numerals into the text</w:t>
      </w:r>
      <w:r w:rsidR="00996F15" w:rsidRPr="0047127A">
        <w:t xml:space="preserve">, </w:t>
      </w:r>
      <w:r w:rsidR="000B2BE9" w:rsidRPr="0047127A">
        <w:t xml:space="preserve">the quoted portion of section 954 includes two main clauses joined by the conjunction “and.”  </w:t>
      </w:r>
      <w:r w:rsidR="0006448F" w:rsidRPr="0047127A">
        <w:t xml:space="preserve">(See </w:t>
      </w:r>
      <w:r w:rsidR="0006448F" w:rsidRPr="0047127A">
        <w:rPr>
          <w:i/>
          <w:iCs/>
        </w:rPr>
        <w:t>People v. Merriman</w:t>
      </w:r>
      <w:r w:rsidR="0006448F" w:rsidRPr="0047127A">
        <w:t xml:space="preserve"> (2014) 60 Cal.4th 1, 36</w:t>
      </w:r>
      <w:r w:rsidR="00F0688E" w:rsidRPr="0047127A">
        <w:t xml:space="preserve"> [recognizing </w:t>
      </w:r>
      <w:r w:rsidR="00D42288" w:rsidRPr="0047127A">
        <w:t xml:space="preserve">these </w:t>
      </w:r>
      <w:r w:rsidR="00F0688E" w:rsidRPr="0047127A">
        <w:t>distinct clauses</w:t>
      </w:r>
      <w:r w:rsidR="00715B35" w:rsidRPr="0047127A">
        <w:t xml:space="preserve"> in § 954</w:t>
      </w:r>
      <w:r w:rsidR="00F0688E" w:rsidRPr="0047127A">
        <w:t>]</w:t>
      </w:r>
      <w:r w:rsidR="0006448F" w:rsidRPr="0047127A">
        <w:t xml:space="preserve">.)  </w:t>
      </w:r>
      <w:r w:rsidR="000B2BE9" w:rsidRPr="0047127A">
        <w:t xml:space="preserve">The first clause addresses joinder of related </w:t>
      </w:r>
      <w:r w:rsidR="00FB6C7C" w:rsidRPr="0047127A">
        <w:t>offens</w:t>
      </w:r>
      <w:r w:rsidR="000B2BE9" w:rsidRPr="0047127A">
        <w:t>es in a single pleading, and for convenience</w:t>
      </w:r>
      <w:r w:rsidR="00996F15" w:rsidRPr="0047127A">
        <w:t>,</w:t>
      </w:r>
      <w:r w:rsidR="000B2BE9" w:rsidRPr="0047127A">
        <w:t xml:space="preserve"> </w:t>
      </w:r>
      <w:r w:rsidR="00371CBC" w:rsidRPr="0047127A">
        <w:t>we</w:t>
      </w:r>
      <w:r w:rsidR="000B2BE9" w:rsidRPr="0047127A">
        <w:t xml:space="preserve"> will refer to it as the “joinder clause.”  The second clause addresses court consolidation of </w:t>
      </w:r>
      <w:r w:rsidR="0057510C" w:rsidRPr="0047127A">
        <w:t xml:space="preserve">separate </w:t>
      </w:r>
      <w:r w:rsidR="000B2BE9" w:rsidRPr="0047127A">
        <w:t xml:space="preserve">pleadings, </w:t>
      </w:r>
      <w:r w:rsidR="00686972">
        <w:t>which</w:t>
      </w:r>
      <w:r w:rsidR="000B2BE9" w:rsidRPr="0047127A">
        <w:t xml:space="preserve"> </w:t>
      </w:r>
      <w:r w:rsidR="00371CBC" w:rsidRPr="0047127A">
        <w:t>we</w:t>
      </w:r>
      <w:r w:rsidR="000B2BE9" w:rsidRPr="0047127A">
        <w:t xml:space="preserve"> will refer to as the “consolidation clause.”</w:t>
      </w:r>
    </w:p>
    <w:p w14:paraId="7967166C" w14:textId="628ABFF6" w:rsidR="00FB6C7C" w:rsidRPr="0047127A" w:rsidRDefault="00941221" w:rsidP="0047127A">
      <w:pPr>
        <w:tabs>
          <w:tab w:val="left" w:pos="1440"/>
        </w:tabs>
        <w:ind w:firstLine="720"/>
      </w:pPr>
      <w:r w:rsidRPr="0047127A">
        <w:t xml:space="preserve">In this case, </w:t>
      </w:r>
      <w:r w:rsidR="00565E47" w:rsidRPr="0047127A">
        <w:t xml:space="preserve">the </w:t>
      </w:r>
      <w:r w:rsidR="00235B93">
        <w:t>question</w:t>
      </w:r>
      <w:r w:rsidR="00797DFA" w:rsidRPr="0047127A">
        <w:t xml:space="preserve"> before us is whether </w:t>
      </w:r>
      <w:r w:rsidR="00D4038B" w:rsidRPr="0047127A">
        <w:t xml:space="preserve">and under what circumstances </w:t>
      </w:r>
      <w:r w:rsidR="00797DFA" w:rsidRPr="0047127A">
        <w:t xml:space="preserve">a trial court can </w:t>
      </w:r>
      <w:r w:rsidR="00B3349E" w:rsidRPr="0047127A">
        <w:t xml:space="preserve">consider </w:t>
      </w:r>
      <w:r w:rsidR="00797DFA" w:rsidRPr="0047127A">
        <w:t xml:space="preserve">more than one preliminary hearing record </w:t>
      </w:r>
      <w:r w:rsidR="00D4038B" w:rsidRPr="0047127A">
        <w:t>in</w:t>
      </w:r>
      <w:r w:rsidR="00797DFA" w:rsidRPr="0047127A">
        <w:t xml:space="preserve"> ruling on a </w:t>
      </w:r>
      <w:r w:rsidR="006A0C66" w:rsidRPr="0047127A">
        <w:t xml:space="preserve">motion under </w:t>
      </w:r>
      <w:r w:rsidR="00D2483E" w:rsidRPr="0047127A">
        <w:t xml:space="preserve">section 995 </w:t>
      </w:r>
      <w:r w:rsidR="00797DFA" w:rsidRPr="0047127A">
        <w:t>to set aside the information for lack of probable cause to support the commitment</w:t>
      </w:r>
      <w:r w:rsidR="004F0177" w:rsidRPr="0047127A">
        <w:t xml:space="preserve"> order</w:t>
      </w:r>
      <w:r w:rsidR="00797DFA" w:rsidRPr="0047127A">
        <w:t xml:space="preserve">.  </w:t>
      </w:r>
      <w:r w:rsidR="00D2483E" w:rsidRPr="0047127A">
        <w:t>(</w:t>
      </w:r>
      <w:r w:rsidR="00E66C55" w:rsidRPr="0047127A">
        <w:t xml:space="preserve">See </w:t>
      </w:r>
      <w:r w:rsidR="00D2483E" w:rsidRPr="0047127A">
        <w:t xml:space="preserve">§ 995, subd. (a)(2).)  </w:t>
      </w:r>
      <w:r w:rsidR="00FB30E5">
        <w:t>But i</w:t>
      </w:r>
      <w:r w:rsidR="00E62504">
        <w:t xml:space="preserve">n order </w:t>
      </w:r>
      <w:r w:rsidR="00797DFA" w:rsidRPr="0047127A">
        <w:t xml:space="preserve">to resolve that </w:t>
      </w:r>
      <w:r w:rsidR="00E62504">
        <w:t>question</w:t>
      </w:r>
      <w:r w:rsidR="00797DFA" w:rsidRPr="0047127A">
        <w:t xml:space="preserve">, </w:t>
      </w:r>
      <w:r w:rsidR="00E62504">
        <w:t xml:space="preserve">the parties and the Court of Appeal offer </w:t>
      </w:r>
      <w:r w:rsidR="00145F07" w:rsidRPr="0047127A">
        <w:t>three different interpretations of section 954.  T</w:t>
      </w:r>
      <w:r w:rsidR="00715B35" w:rsidRPr="0047127A">
        <w:t xml:space="preserve">he </w:t>
      </w:r>
      <w:r w:rsidR="00715B35" w:rsidRPr="0047127A">
        <w:lastRenderedPageBreak/>
        <w:t>People argue</w:t>
      </w:r>
      <w:r w:rsidR="00145F07" w:rsidRPr="0047127A">
        <w:t xml:space="preserve"> that </w:t>
      </w:r>
      <w:r w:rsidR="00F01341" w:rsidRPr="0047127A">
        <w:t xml:space="preserve">section 954’s </w:t>
      </w:r>
      <w:r w:rsidR="00F01341" w:rsidRPr="0047127A">
        <w:rPr>
          <w:i/>
          <w:iCs/>
        </w:rPr>
        <w:t>joinder</w:t>
      </w:r>
      <w:r w:rsidR="00F01341" w:rsidRPr="0047127A">
        <w:t xml:space="preserve"> clause </w:t>
      </w:r>
      <w:r w:rsidR="00BF79FB" w:rsidRPr="0047127A">
        <w:t>authorizes</w:t>
      </w:r>
      <w:r w:rsidR="0004423A" w:rsidRPr="0047127A">
        <w:t xml:space="preserve"> a district attorney to file a single information</w:t>
      </w:r>
      <w:r w:rsidR="004F0177" w:rsidRPr="0047127A">
        <w:t xml:space="preserve"> </w:t>
      </w:r>
      <w:r w:rsidR="0004423A" w:rsidRPr="0047127A">
        <w:t>combining related offenses that were the subject of separate preliminary examinations</w:t>
      </w:r>
      <w:r w:rsidR="007F3CDC" w:rsidRPr="0047127A">
        <w:t xml:space="preserve">. </w:t>
      </w:r>
      <w:r w:rsidR="00DB2FB2" w:rsidRPr="0047127A">
        <w:t xml:space="preserve"> </w:t>
      </w:r>
      <w:r w:rsidR="00145F07" w:rsidRPr="0047127A">
        <w:t>B</w:t>
      </w:r>
      <w:r w:rsidR="00DB2FB2" w:rsidRPr="0047127A">
        <w:t>y contrast, t</w:t>
      </w:r>
      <w:r w:rsidR="007F3CDC" w:rsidRPr="0047127A">
        <w:t xml:space="preserve">he </w:t>
      </w:r>
      <w:r w:rsidR="00F01341" w:rsidRPr="0047127A">
        <w:t xml:space="preserve">Court of Appeal </w:t>
      </w:r>
      <w:r w:rsidR="00860562" w:rsidRPr="0047127A">
        <w:t xml:space="preserve">majority </w:t>
      </w:r>
      <w:r w:rsidR="00145F07" w:rsidRPr="0047127A">
        <w:t>c</w:t>
      </w:r>
      <w:r w:rsidR="00F01341" w:rsidRPr="0047127A">
        <w:t xml:space="preserve">oncluded </w:t>
      </w:r>
      <w:r w:rsidR="007E6CE8" w:rsidRPr="0047127A">
        <w:t xml:space="preserve">that </w:t>
      </w:r>
      <w:r w:rsidR="007D4A98" w:rsidRPr="0047127A">
        <w:t xml:space="preserve">section 954’s </w:t>
      </w:r>
      <w:r w:rsidR="00706684" w:rsidRPr="0047127A">
        <w:rPr>
          <w:i/>
          <w:iCs/>
        </w:rPr>
        <w:t>consolidation</w:t>
      </w:r>
      <w:r w:rsidR="00706684" w:rsidRPr="0047127A">
        <w:t xml:space="preserve"> clause</w:t>
      </w:r>
      <w:r w:rsidR="00762CF6" w:rsidRPr="0047127A">
        <w:t xml:space="preserve"> </w:t>
      </w:r>
      <w:r w:rsidR="00083E03" w:rsidRPr="0047127A">
        <w:t xml:space="preserve">provides </w:t>
      </w:r>
      <w:r w:rsidR="00B3349E" w:rsidRPr="0047127A">
        <w:t xml:space="preserve">the district attorney with </w:t>
      </w:r>
      <w:r w:rsidR="007D4A98" w:rsidRPr="0047127A">
        <w:t xml:space="preserve">that </w:t>
      </w:r>
      <w:r w:rsidR="00BF79FB" w:rsidRPr="0047127A">
        <w:t>authority</w:t>
      </w:r>
      <w:r w:rsidR="007E6CE8" w:rsidRPr="0047127A">
        <w:t>.</w:t>
      </w:r>
      <w:r w:rsidR="00145F07" w:rsidRPr="0047127A">
        <w:t xml:space="preserve">  Third, d</w:t>
      </w:r>
      <w:r w:rsidR="007E6CE8" w:rsidRPr="0047127A">
        <w:t>efendant</w:t>
      </w:r>
      <w:r w:rsidR="00083E03" w:rsidRPr="0047127A">
        <w:t xml:space="preserve"> </w:t>
      </w:r>
      <w:r w:rsidR="00B52614" w:rsidRPr="0047127A">
        <w:t xml:space="preserve">argues </w:t>
      </w:r>
      <w:r w:rsidR="007E6CE8" w:rsidRPr="0047127A">
        <w:t xml:space="preserve">that </w:t>
      </w:r>
      <w:r w:rsidR="00297C5D" w:rsidRPr="0047127A">
        <w:t>a single information</w:t>
      </w:r>
      <w:r w:rsidR="00145F07" w:rsidRPr="0047127A">
        <w:t xml:space="preserve"> </w:t>
      </w:r>
      <w:r w:rsidR="007E6CE8" w:rsidRPr="0047127A">
        <w:t xml:space="preserve">combining related offenses that </w:t>
      </w:r>
      <w:r w:rsidR="00B52614" w:rsidRPr="0047127A">
        <w:t xml:space="preserve">were </w:t>
      </w:r>
      <w:r w:rsidR="00FB6C7C" w:rsidRPr="0047127A">
        <w:t xml:space="preserve">the subject of </w:t>
      </w:r>
      <w:r w:rsidR="007E6CE8" w:rsidRPr="0047127A">
        <w:t>separate preliminary examinations</w:t>
      </w:r>
      <w:r w:rsidR="00145F07" w:rsidRPr="0047127A">
        <w:t xml:space="preserve"> </w:t>
      </w:r>
      <w:r w:rsidR="00B52614" w:rsidRPr="0047127A">
        <w:t xml:space="preserve">is unauthorized </w:t>
      </w:r>
      <w:r w:rsidR="007C08F4" w:rsidRPr="0047127A">
        <w:t>absent a court</w:t>
      </w:r>
      <w:r w:rsidR="00220EBB" w:rsidRPr="0047127A">
        <w:t>-issued consolidation</w:t>
      </w:r>
      <w:r w:rsidR="007C08F4" w:rsidRPr="0047127A">
        <w:t xml:space="preserve"> order</w:t>
      </w:r>
      <w:r w:rsidR="00EF532C" w:rsidRPr="0047127A">
        <w:t> </w:t>
      </w:r>
      <w:r w:rsidR="00B52614" w:rsidRPr="0047127A">
        <w:t>—</w:t>
      </w:r>
      <w:r w:rsidR="00145F07" w:rsidRPr="0047127A">
        <w:t xml:space="preserve"> </w:t>
      </w:r>
      <w:r w:rsidR="00B52614" w:rsidRPr="0047127A">
        <w:t xml:space="preserve">and no such order was obtained </w:t>
      </w:r>
      <w:r w:rsidR="00145F07" w:rsidRPr="0047127A">
        <w:t>in this case</w:t>
      </w:r>
      <w:r w:rsidRPr="0047127A">
        <w:t>.</w:t>
      </w:r>
    </w:p>
    <w:p w14:paraId="7B542F15" w14:textId="279B9444" w:rsidR="00225DFF" w:rsidRPr="0047127A" w:rsidRDefault="00EF532C" w:rsidP="0047127A">
      <w:pPr>
        <w:tabs>
          <w:tab w:val="left" w:pos="1440"/>
        </w:tabs>
        <w:ind w:firstLine="720"/>
      </w:pPr>
      <w:r w:rsidRPr="0047127A">
        <w:t xml:space="preserve">We </w:t>
      </w:r>
      <w:r w:rsidR="00941221" w:rsidRPr="0047127A">
        <w:t>conclude that section 954</w:t>
      </w:r>
      <w:r w:rsidR="007C08F4" w:rsidRPr="0047127A">
        <w:t xml:space="preserve">’s joinder clause </w:t>
      </w:r>
      <w:r w:rsidR="00941221" w:rsidRPr="0047127A">
        <w:t xml:space="preserve">permits </w:t>
      </w:r>
      <w:r w:rsidR="007C08F4" w:rsidRPr="0047127A">
        <w:t xml:space="preserve">a district attorney to file a single information </w:t>
      </w:r>
      <w:r w:rsidR="007D4A98" w:rsidRPr="0047127A">
        <w:t xml:space="preserve">in the circumstances </w:t>
      </w:r>
      <w:r w:rsidR="00B52614" w:rsidRPr="0047127A">
        <w:t>presented here</w:t>
      </w:r>
      <w:r w:rsidR="00600F4A" w:rsidRPr="0047127A">
        <w:t>, provided</w:t>
      </w:r>
      <w:r w:rsidR="004F0177" w:rsidRPr="0047127A">
        <w:t xml:space="preserve">, </w:t>
      </w:r>
      <w:r w:rsidR="00600F4A" w:rsidRPr="0047127A">
        <w:t>as is t</w:t>
      </w:r>
      <w:r w:rsidR="007C08F4" w:rsidRPr="0047127A">
        <w:t>rue</w:t>
      </w:r>
      <w:r w:rsidR="00600F4A" w:rsidRPr="0047127A">
        <w:t xml:space="preserve"> here</w:t>
      </w:r>
      <w:r w:rsidR="004F0177" w:rsidRPr="0047127A">
        <w:t xml:space="preserve">, </w:t>
      </w:r>
      <w:r w:rsidR="00600F4A" w:rsidRPr="0047127A">
        <w:t>th</w:t>
      </w:r>
      <w:r w:rsidR="005D56DC" w:rsidRPr="0047127A">
        <w:t>at th</w:t>
      </w:r>
      <w:r w:rsidR="00600F4A" w:rsidRPr="0047127A">
        <w:t>e applicable time constraints are satisfied.</w:t>
      </w:r>
      <w:r w:rsidR="00145F07" w:rsidRPr="0047127A">
        <w:t xml:space="preserve">  </w:t>
      </w:r>
      <w:r w:rsidRPr="0047127A">
        <w:t>We</w:t>
      </w:r>
      <w:r w:rsidR="00B3349E" w:rsidRPr="0047127A">
        <w:t xml:space="preserve"> further conclude that </w:t>
      </w:r>
      <w:r w:rsidR="00D4038B" w:rsidRPr="0047127A">
        <w:t xml:space="preserve">when, as here, related offenses are properly joined by the district attorney, </w:t>
      </w:r>
      <w:r w:rsidR="00B3349E" w:rsidRPr="0047127A">
        <w:t xml:space="preserve">a trial court is permitted to consider more than one preliminary hearing record </w:t>
      </w:r>
      <w:r w:rsidR="00D4038B" w:rsidRPr="0047127A">
        <w:t xml:space="preserve">in </w:t>
      </w:r>
      <w:r w:rsidR="00B3349E" w:rsidRPr="0047127A">
        <w:t xml:space="preserve">ruling on a </w:t>
      </w:r>
      <w:r w:rsidR="008805AF" w:rsidRPr="0047127A">
        <w:t xml:space="preserve">section 995 </w:t>
      </w:r>
      <w:r w:rsidR="00B3349E" w:rsidRPr="0047127A">
        <w:t xml:space="preserve">motion.  </w:t>
      </w:r>
      <w:r w:rsidR="00941221" w:rsidRPr="0047127A">
        <w:t>Accordingly, we affirm the judgment of the Court of Appeal, which reversed the trial court’s order of dismissal</w:t>
      </w:r>
      <w:r w:rsidR="007D4A98" w:rsidRPr="0047127A">
        <w:t xml:space="preserve">, although </w:t>
      </w:r>
      <w:r w:rsidRPr="0047127A">
        <w:t xml:space="preserve">we </w:t>
      </w:r>
      <w:r w:rsidR="00220EBB" w:rsidRPr="0047127A">
        <w:t xml:space="preserve">do not </w:t>
      </w:r>
      <w:r w:rsidR="00BD6C9B">
        <w:t>em</w:t>
      </w:r>
      <w:r w:rsidR="00220EBB" w:rsidRPr="0047127A">
        <w:t>pl</w:t>
      </w:r>
      <w:r w:rsidR="00BD6C9B">
        <w:t>o</w:t>
      </w:r>
      <w:r w:rsidR="00220EBB" w:rsidRPr="0047127A">
        <w:t xml:space="preserve">y the </w:t>
      </w:r>
      <w:r w:rsidR="007D4A98" w:rsidRPr="0047127A">
        <w:t>Court of Appeal’s reasoning.</w:t>
      </w:r>
    </w:p>
    <w:p w14:paraId="679F34DC" w14:textId="438791B9" w:rsidR="00225DFF" w:rsidRPr="0047127A" w:rsidRDefault="00E00F1C" w:rsidP="0047127A">
      <w:pPr>
        <w:pStyle w:val="Heading1"/>
      </w:pPr>
      <w:r w:rsidRPr="0047127A">
        <w:t xml:space="preserve">I. </w:t>
      </w:r>
      <w:r w:rsidR="00225DFF" w:rsidRPr="0047127A">
        <w:t>Facts and Procedural Background</w:t>
      </w:r>
    </w:p>
    <w:p w14:paraId="61BBBC0E" w14:textId="0BF8E248" w:rsidR="001F655F" w:rsidRPr="0047127A" w:rsidRDefault="0026357A" w:rsidP="0047127A">
      <w:pPr>
        <w:tabs>
          <w:tab w:val="left" w:pos="1440"/>
        </w:tabs>
        <w:ind w:firstLine="720"/>
      </w:pPr>
      <w:r w:rsidRPr="0047127A">
        <w:t>T</w:t>
      </w:r>
      <w:r w:rsidR="001F655F" w:rsidRPr="0047127A">
        <w:t>he facts</w:t>
      </w:r>
      <w:r w:rsidRPr="0047127A">
        <w:t xml:space="preserve"> </w:t>
      </w:r>
      <w:r w:rsidR="00E310F1" w:rsidRPr="0047127A">
        <w:t xml:space="preserve">are </w:t>
      </w:r>
      <w:r w:rsidR="001F655F" w:rsidRPr="0047127A">
        <w:t xml:space="preserve">not </w:t>
      </w:r>
      <w:r w:rsidR="00ED651D" w:rsidRPr="0047127A">
        <w:t xml:space="preserve">the subject of significant </w:t>
      </w:r>
      <w:r w:rsidR="001F655F" w:rsidRPr="0047127A">
        <w:t xml:space="preserve">dispute, </w:t>
      </w:r>
      <w:r w:rsidRPr="0047127A">
        <w:t xml:space="preserve">and </w:t>
      </w:r>
      <w:r w:rsidR="00116684" w:rsidRPr="0047127A">
        <w:t>we</w:t>
      </w:r>
      <w:r w:rsidRPr="0047127A">
        <w:t xml:space="preserve"> take them </w:t>
      </w:r>
      <w:r w:rsidR="00CF353E" w:rsidRPr="0047127A">
        <w:t xml:space="preserve">largely </w:t>
      </w:r>
      <w:r w:rsidR="001F655F" w:rsidRPr="0047127A">
        <w:t>from the Court of Appeal</w:t>
      </w:r>
      <w:r w:rsidRPr="0047127A">
        <w:t xml:space="preserve"> opinion</w:t>
      </w:r>
      <w:r w:rsidR="001F655F" w:rsidRPr="0047127A">
        <w:t>.</w:t>
      </w:r>
    </w:p>
    <w:p w14:paraId="7A2A40A5" w14:textId="77777777" w:rsidR="00977B42" w:rsidRPr="0047127A" w:rsidRDefault="00977B42" w:rsidP="0047127A">
      <w:pPr>
        <w:pStyle w:val="Heading2"/>
      </w:pPr>
      <w:r w:rsidRPr="0047127A">
        <w:t xml:space="preserve">A. </w:t>
      </w:r>
      <w:r w:rsidR="00AD6990" w:rsidRPr="0047127A">
        <w:t xml:space="preserve">The </w:t>
      </w:r>
      <w:r w:rsidRPr="0047127A">
        <w:t xml:space="preserve">Complaints, </w:t>
      </w:r>
      <w:r w:rsidR="00AD6990" w:rsidRPr="0047127A">
        <w:t xml:space="preserve">the </w:t>
      </w:r>
      <w:r w:rsidRPr="0047127A">
        <w:t xml:space="preserve">Commitment Orders, and </w:t>
      </w:r>
      <w:r w:rsidR="003548CC" w:rsidRPr="0047127A">
        <w:t xml:space="preserve">the </w:t>
      </w:r>
      <w:r w:rsidRPr="0047127A">
        <w:t>Information</w:t>
      </w:r>
    </w:p>
    <w:p w14:paraId="41FEF8CC" w14:textId="0BBFEA8C" w:rsidR="00280B3B" w:rsidRPr="0047127A" w:rsidRDefault="00162221" w:rsidP="0047127A">
      <w:pPr>
        <w:tabs>
          <w:tab w:val="left" w:pos="1440"/>
        </w:tabs>
        <w:ind w:firstLine="720"/>
      </w:pPr>
      <w:r w:rsidRPr="0047127A">
        <w:t xml:space="preserve">On March 7, 2016, a </w:t>
      </w:r>
      <w:r w:rsidR="009C71AA" w:rsidRPr="0047127A">
        <w:t xml:space="preserve">felony </w:t>
      </w:r>
      <w:r w:rsidRPr="0047127A">
        <w:t xml:space="preserve">complaint was filed </w:t>
      </w:r>
      <w:r w:rsidR="007A4537">
        <w:t>at</w:t>
      </w:r>
      <w:r w:rsidRPr="0047127A">
        <w:t xml:space="preserve"> </w:t>
      </w:r>
      <w:r w:rsidR="007A4537">
        <w:t xml:space="preserve">the </w:t>
      </w:r>
      <w:r w:rsidRPr="0047127A">
        <w:t xml:space="preserve">Fresno County Superior Court </w:t>
      </w:r>
      <w:r w:rsidR="008D5798" w:rsidRPr="0047127A">
        <w:t xml:space="preserve">and assigned </w:t>
      </w:r>
      <w:r w:rsidRPr="0047127A">
        <w:t xml:space="preserve">case </w:t>
      </w:r>
      <w:r w:rsidR="001609EF" w:rsidRPr="0047127A">
        <w:t xml:space="preserve">number </w:t>
      </w:r>
      <w:r w:rsidRPr="0047127A">
        <w:lastRenderedPageBreak/>
        <w:t>F16901499 (</w:t>
      </w:r>
      <w:r w:rsidR="000F49E9">
        <w:t xml:space="preserve">magistrate </w:t>
      </w:r>
      <w:r w:rsidRPr="0047127A">
        <w:t>case 1499</w:t>
      </w:r>
      <w:r w:rsidR="005E2D93" w:rsidRPr="0047127A">
        <w:t>).</w:t>
      </w:r>
      <w:r w:rsidR="00E42D7F">
        <w:rPr>
          <w:rStyle w:val="FootnoteReference"/>
        </w:rPr>
        <w:footnoteReference w:id="3"/>
      </w:r>
      <w:r w:rsidR="008D5798" w:rsidRPr="0047127A">
        <w:t xml:space="preserve">  The complaint </w:t>
      </w:r>
      <w:r w:rsidRPr="0047127A">
        <w:t>charg</w:t>
      </w:r>
      <w:r w:rsidR="008D5798" w:rsidRPr="0047127A">
        <w:t xml:space="preserve">ed </w:t>
      </w:r>
      <w:r w:rsidRPr="0047127A">
        <w:t>defendant with</w:t>
      </w:r>
      <w:r w:rsidR="009755A0">
        <w:t>:</w:t>
      </w:r>
      <w:r w:rsidRPr="0047127A">
        <w:t xml:space="preserve"> </w:t>
      </w:r>
      <w:r w:rsidR="00C77E07" w:rsidRPr="0047127A">
        <w:t xml:space="preserve">(1) </w:t>
      </w:r>
      <w:r w:rsidRPr="0047127A">
        <w:t>unlawfully driving or taking a vehicle after having suffered three prior vehicle theft convictions (Veh. Code, §</w:t>
      </w:r>
      <w:r w:rsidR="00606119" w:rsidRPr="0047127A">
        <w:t> </w:t>
      </w:r>
      <w:r w:rsidRPr="0047127A">
        <w:t>10851, subd. (a)</w:t>
      </w:r>
      <w:r w:rsidR="009C71AA" w:rsidRPr="0047127A">
        <w:t>; § 666.5</w:t>
      </w:r>
      <w:r w:rsidRPr="0047127A">
        <w:t>)</w:t>
      </w:r>
      <w:r w:rsidR="00C77E07" w:rsidRPr="0047127A">
        <w:t xml:space="preserve">; (2) </w:t>
      </w:r>
      <w:r w:rsidRPr="0047127A">
        <w:t>receiving stolen property</w:t>
      </w:r>
      <w:r w:rsidR="00C77E07" w:rsidRPr="0047127A">
        <w:t xml:space="preserve"> (</w:t>
      </w:r>
      <w:r w:rsidRPr="0047127A">
        <w:t>a motor vehicle</w:t>
      </w:r>
      <w:r w:rsidR="00C77E07" w:rsidRPr="0047127A">
        <w:t>)</w:t>
      </w:r>
      <w:r w:rsidRPr="0047127A">
        <w:t xml:space="preserve"> after having suffered three prior </w:t>
      </w:r>
      <w:r w:rsidR="00C77E07" w:rsidRPr="0047127A">
        <w:t>vehicle</w:t>
      </w:r>
      <w:r w:rsidRPr="0047127A">
        <w:t xml:space="preserve"> theft convictions (§§</w:t>
      </w:r>
      <w:r w:rsidR="00C77E07" w:rsidRPr="0047127A">
        <w:t> </w:t>
      </w:r>
      <w:r w:rsidRPr="0047127A">
        <w:t>496d, subd. (a), 666.5)</w:t>
      </w:r>
      <w:r w:rsidR="00C77E07" w:rsidRPr="0047127A">
        <w:t xml:space="preserve">; (3) </w:t>
      </w:r>
      <w:r w:rsidRPr="0047127A">
        <w:t xml:space="preserve">resisting, obstructing, or delaying a peace officer or </w:t>
      </w:r>
      <w:r w:rsidR="00C77E07" w:rsidRPr="0047127A">
        <w:t xml:space="preserve">an </w:t>
      </w:r>
      <w:r w:rsidRPr="0047127A">
        <w:t>emergency medical technician (§</w:t>
      </w:r>
      <w:r w:rsidR="00606119" w:rsidRPr="0047127A">
        <w:t> </w:t>
      </w:r>
      <w:r w:rsidRPr="0047127A">
        <w:t>148, subd. (a)(1))</w:t>
      </w:r>
      <w:r w:rsidR="00C77E07" w:rsidRPr="0047127A">
        <w:t>;</w:t>
      </w:r>
      <w:r w:rsidRPr="0047127A">
        <w:t xml:space="preserve"> and </w:t>
      </w:r>
      <w:r w:rsidR="00C77E07" w:rsidRPr="0047127A">
        <w:t xml:space="preserve">(4) </w:t>
      </w:r>
      <w:r w:rsidRPr="0047127A">
        <w:t>possessi</w:t>
      </w:r>
      <w:r w:rsidR="00C77E07" w:rsidRPr="0047127A">
        <w:t xml:space="preserve">on of </w:t>
      </w:r>
      <w:r w:rsidRPr="0047127A">
        <w:t>burglary tools (§</w:t>
      </w:r>
      <w:r w:rsidR="00C77E07" w:rsidRPr="0047127A">
        <w:t> </w:t>
      </w:r>
      <w:r w:rsidRPr="0047127A">
        <w:t xml:space="preserve">466).  The offenses </w:t>
      </w:r>
      <w:r w:rsidR="00007FF2" w:rsidRPr="0047127A">
        <w:t xml:space="preserve">were </w:t>
      </w:r>
      <w:r w:rsidRPr="0047127A">
        <w:t>all alleged to have occurred on March 4</w:t>
      </w:r>
      <w:r w:rsidR="00280B3B" w:rsidRPr="0047127A">
        <w:t>, 2016, and d</w:t>
      </w:r>
      <w:r w:rsidRPr="0047127A">
        <w:t>efendant was further alleged to have served two prior prison terms</w:t>
      </w:r>
      <w:r w:rsidR="00280B3B" w:rsidRPr="0047127A">
        <w:t xml:space="preserve"> </w:t>
      </w:r>
      <w:r w:rsidRPr="0047127A">
        <w:t>(§</w:t>
      </w:r>
      <w:r w:rsidR="00606119" w:rsidRPr="0047127A">
        <w:t> </w:t>
      </w:r>
      <w:r w:rsidRPr="0047127A">
        <w:t>667.5, subd. (b)</w:t>
      </w:r>
      <w:r w:rsidR="00280B3B" w:rsidRPr="0047127A">
        <w:t>)</w:t>
      </w:r>
      <w:r w:rsidRPr="0047127A">
        <w:t>.</w:t>
      </w:r>
      <w:r w:rsidR="00280B3B" w:rsidRPr="0047127A">
        <w:t xml:space="preserve">  </w:t>
      </w:r>
      <w:r w:rsidRPr="0047127A">
        <w:t>Defendant was arraigned on the complaint on March 8</w:t>
      </w:r>
      <w:r w:rsidR="00280B3B" w:rsidRPr="0047127A">
        <w:t>, 2016, and</w:t>
      </w:r>
      <w:r w:rsidR="001609EF" w:rsidRPr="0047127A">
        <w:t xml:space="preserve"> </w:t>
      </w:r>
      <w:r w:rsidR="007F7EE1" w:rsidRPr="0047127A">
        <w:t xml:space="preserve">he was </w:t>
      </w:r>
      <w:r w:rsidR="00630AD0" w:rsidRPr="0047127A">
        <w:t>released on bail.</w:t>
      </w:r>
    </w:p>
    <w:p w14:paraId="6D9B7183" w14:textId="5C7192E2" w:rsidR="00781C3E" w:rsidRPr="001D399B" w:rsidRDefault="00162221" w:rsidP="0047127A">
      <w:pPr>
        <w:tabs>
          <w:tab w:val="left" w:pos="1440"/>
        </w:tabs>
        <w:ind w:firstLine="720"/>
      </w:pPr>
      <w:r w:rsidRPr="0047127A">
        <w:t xml:space="preserve">On May 19, </w:t>
      </w:r>
      <w:r w:rsidR="00280B3B" w:rsidRPr="0047127A">
        <w:t xml:space="preserve">2016, </w:t>
      </w:r>
      <w:r w:rsidRPr="0047127A">
        <w:t xml:space="preserve">a </w:t>
      </w:r>
      <w:r w:rsidR="00007FF2" w:rsidRPr="0047127A">
        <w:t xml:space="preserve">different </w:t>
      </w:r>
      <w:r w:rsidR="00606119" w:rsidRPr="0047127A">
        <w:t xml:space="preserve">felony </w:t>
      </w:r>
      <w:r w:rsidRPr="0047127A">
        <w:t xml:space="preserve">complaint was filed </w:t>
      </w:r>
      <w:r w:rsidR="007A4537">
        <w:t>at</w:t>
      </w:r>
      <w:r w:rsidRPr="0047127A">
        <w:t xml:space="preserve"> </w:t>
      </w:r>
      <w:r w:rsidR="007A4537">
        <w:t xml:space="preserve">the </w:t>
      </w:r>
      <w:r w:rsidRPr="0047127A">
        <w:t>Fresno County Superior Court</w:t>
      </w:r>
      <w:r w:rsidR="00007FF2" w:rsidRPr="0047127A">
        <w:t>,</w:t>
      </w:r>
      <w:r w:rsidRPr="0047127A">
        <w:t xml:space="preserve"> </w:t>
      </w:r>
      <w:r w:rsidR="008D5798" w:rsidRPr="0047127A">
        <w:t xml:space="preserve">and </w:t>
      </w:r>
      <w:r w:rsidR="00007FF2" w:rsidRPr="0047127A">
        <w:t xml:space="preserve">it was </w:t>
      </w:r>
      <w:r w:rsidR="008D5798" w:rsidRPr="0047127A">
        <w:t xml:space="preserve">assigned </w:t>
      </w:r>
      <w:r w:rsidRPr="0047127A">
        <w:t xml:space="preserve">case </w:t>
      </w:r>
      <w:r w:rsidR="007F7EE1" w:rsidRPr="0047127A">
        <w:t xml:space="preserve">number </w:t>
      </w:r>
      <w:r w:rsidRPr="0047127A">
        <w:t>F16903119 (</w:t>
      </w:r>
      <w:r w:rsidR="000F49E9">
        <w:t xml:space="preserve">magistrate </w:t>
      </w:r>
      <w:r w:rsidRPr="0047127A">
        <w:t xml:space="preserve">case </w:t>
      </w:r>
      <w:r w:rsidR="00280B3B" w:rsidRPr="0047127A">
        <w:t>3</w:t>
      </w:r>
      <w:r w:rsidRPr="0047127A">
        <w:t>119)</w:t>
      </w:r>
      <w:r w:rsidR="008D5798" w:rsidRPr="0047127A">
        <w:t xml:space="preserve">.  The complaint </w:t>
      </w:r>
      <w:r w:rsidRPr="0047127A">
        <w:t>charg</w:t>
      </w:r>
      <w:r w:rsidR="008D5798" w:rsidRPr="0047127A">
        <w:t xml:space="preserve">ed </w:t>
      </w:r>
      <w:r w:rsidRPr="0047127A">
        <w:t>defendant with</w:t>
      </w:r>
      <w:r w:rsidR="00C7698B">
        <w:t>:</w:t>
      </w:r>
      <w:r w:rsidRPr="0047127A">
        <w:t xml:space="preserve"> </w:t>
      </w:r>
      <w:r w:rsidR="00280B3B" w:rsidRPr="0047127A">
        <w:t xml:space="preserve">(1) two counts of </w:t>
      </w:r>
      <w:r w:rsidRPr="0047127A">
        <w:t xml:space="preserve">unlawfully driving or taking a vehicle after having suffered three prior </w:t>
      </w:r>
      <w:r w:rsidR="00280B3B" w:rsidRPr="0047127A">
        <w:t xml:space="preserve">vehicle </w:t>
      </w:r>
      <w:r w:rsidRPr="0047127A">
        <w:t>theft convictions</w:t>
      </w:r>
      <w:r w:rsidR="00280B3B" w:rsidRPr="0047127A">
        <w:t xml:space="preserve"> </w:t>
      </w:r>
      <w:r w:rsidRPr="0047127A">
        <w:t>(Veh. Code, §</w:t>
      </w:r>
      <w:r w:rsidR="00606119" w:rsidRPr="0047127A">
        <w:t> </w:t>
      </w:r>
      <w:r w:rsidRPr="0047127A">
        <w:t>10851, subd. (a)</w:t>
      </w:r>
      <w:r w:rsidR="00606119" w:rsidRPr="0047127A">
        <w:t xml:space="preserve">; </w:t>
      </w:r>
      <w:r w:rsidR="009D2BDD">
        <w:t xml:space="preserve">Pen. Code, </w:t>
      </w:r>
      <w:r w:rsidR="00606119" w:rsidRPr="0047127A">
        <w:t>§ 666.5</w:t>
      </w:r>
      <w:r w:rsidRPr="0047127A">
        <w:t xml:space="preserve">), </w:t>
      </w:r>
      <w:r w:rsidR="00280B3B" w:rsidRPr="0047127A">
        <w:t xml:space="preserve">(2) two counts of </w:t>
      </w:r>
      <w:r w:rsidRPr="0047127A">
        <w:t>receiving stolen property</w:t>
      </w:r>
      <w:r w:rsidR="00280B3B" w:rsidRPr="0047127A">
        <w:t xml:space="preserve"> (</w:t>
      </w:r>
      <w:r w:rsidRPr="0047127A">
        <w:t>a motor vehicle</w:t>
      </w:r>
      <w:r w:rsidR="00280B3B" w:rsidRPr="0047127A">
        <w:t>)</w:t>
      </w:r>
      <w:r w:rsidRPr="0047127A">
        <w:t xml:space="preserve"> after having suffered three prior </w:t>
      </w:r>
      <w:r w:rsidR="00280B3B" w:rsidRPr="0047127A">
        <w:t xml:space="preserve">vehicle </w:t>
      </w:r>
      <w:r w:rsidRPr="0047127A">
        <w:t>theft convictions (§§</w:t>
      </w:r>
      <w:r w:rsidR="00280B3B" w:rsidRPr="0047127A">
        <w:t> </w:t>
      </w:r>
      <w:r w:rsidRPr="0047127A">
        <w:t>496d, subd.</w:t>
      </w:r>
      <w:r w:rsidR="001C522F" w:rsidRPr="0047127A">
        <w:t> </w:t>
      </w:r>
      <w:r w:rsidRPr="0047127A">
        <w:t>(a), 666.5)</w:t>
      </w:r>
      <w:r w:rsidR="00280B3B" w:rsidRPr="0047127A">
        <w:t xml:space="preserve">; and (3) </w:t>
      </w:r>
      <w:r w:rsidRPr="0047127A">
        <w:t xml:space="preserve">resisting, obstructing, or delaying a peace officer or </w:t>
      </w:r>
      <w:r w:rsidR="00280B3B" w:rsidRPr="0047127A">
        <w:t xml:space="preserve">an </w:t>
      </w:r>
      <w:r w:rsidRPr="0047127A">
        <w:t>emergency medical technician (§</w:t>
      </w:r>
      <w:r w:rsidR="00280B3B" w:rsidRPr="0047127A">
        <w:t> </w:t>
      </w:r>
      <w:r w:rsidRPr="0047127A">
        <w:t xml:space="preserve">148, subd. (a)(1)).  The offenses </w:t>
      </w:r>
      <w:r w:rsidR="00007FF2" w:rsidRPr="0047127A">
        <w:t xml:space="preserve">were </w:t>
      </w:r>
      <w:r w:rsidRPr="0047127A">
        <w:t xml:space="preserve">all alleged to have occurred on May </w:t>
      </w:r>
      <w:r w:rsidRPr="0047127A">
        <w:lastRenderedPageBreak/>
        <w:t>17</w:t>
      </w:r>
      <w:r w:rsidR="00280B3B" w:rsidRPr="0047127A">
        <w:t>, 2016, and d</w:t>
      </w:r>
      <w:r w:rsidRPr="0047127A">
        <w:t>efendant was further alleged to have served two prior prison terms (§</w:t>
      </w:r>
      <w:r w:rsidR="00606119" w:rsidRPr="0047127A">
        <w:t> </w:t>
      </w:r>
      <w:r w:rsidRPr="0047127A">
        <w:t xml:space="preserve">667.5, subd. (b)) </w:t>
      </w:r>
      <w:r w:rsidRPr="001D399B">
        <w:t xml:space="preserve">and to have committed the </w:t>
      </w:r>
      <w:r w:rsidR="00280B3B" w:rsidRPr="001D399B">
        <w:t xml:space="preserve">May 17 </w:t>
      </w:r>
      <w:r w:rsidRPr="001D399B">
        <w:t xml:space="preserve">offenses while released on bail in </w:t>
      </w:r>
      <w:r w:rsidR="000F49E9">
        <w:t xml:space="preserve">magistrate </w:t>
      </w:r>
      <w:r w:rsidRPr="001D399B">
        <w:t xml:space="preserve">case </w:t>
      </w:r>
      <w:r w:rsidR="00280B3B" w:rsidRPr="001D399B">
        <w:t>1</w:t>
      </w:r>
      <w:r w:rsidRPr="001D399B">
        <w:t>499 (§</w:t>
      </w:r>
      <w:r w:rsidR="00280B3B" w:rsidRPr="001D399B">
        <w:t> </w:t>
      </w:r>
      <w:r w:rsidRPr="001D399B">
        <w:t>12022.1).</w:t>
      </w:r>
      <w:r w:rsidR="00781C3E" w:rsidRPr="001D399B">
        <w:t xml:space="preserve">  Defendant was arraigned on the </w:t>
      </w:r>
      <w:r w:rsidR="007F7EE1" w:rsidRPr="001D399B">
        <w:t xml:space="preserve">latter </w:t>
      </w:r>
      <w:r w:rsidR="00781C3E" w:rsidRPr="001D399B">
        <w:t>complaint on May 24, 2016.</w:t>
      </w:r>
    </w:p>
    <w:p w14:paraId="7F5EB2C3" w14:textId="2330DCE1" w:rsidR="00162221" w:rsidRPr="0047127A" w:rsidRDefault="0005680C" w:rsidP="0047127A">
      <w:pPr>
        <w:tabs>
          <w:tab w:val="left" w:pos="1440"/>
        </w:tabs>
        <w:ind w:firstLine="720"/>
      </w:pPr>
      <w:r w:rsidRPr="001D399B">
        <w:t>T</w:t>
      </w:r>
      <w:r w:rsidR="00162221" w:rsidRPr="001D399B">
        <w:t xml:space="preserve">he preliminary hearing in </w:t>
      </w:r>
      <w:r w:rsidR="00493088">
        <w:t xml:space="preserve">magistrate </w:t>
      </w:r>
      <w:r w:rsidR="00162221" w:rsidRPr="001D399B">
        <w:t xml:space="preserve">case </w:t>
      </w:r>
      <w:r w:rsidR="00781C3E" w:rsidRPr="001D399B">
        <w:t>3</w:t>
      </w:r>
      <w:r w:rsidR="00162221" w:rsidRPr="001D399B">
        <w:t xml:space="preserve">119 </w:t>
      </w:r>
      <w:r w:rsidR="001E1804" w:rsidRPr="001D399B">
        <w:t xml:space="preserve">took place </w:t>
      </w:r>
      <w:r w:rsidR="00781C3E" w:rsidRPr="001D399B">
        <w:t xml:space="preserve">on </w:t>
      </w:r>
      <w:r w:rsidR="00162221" w:rsidRPr="001D399B">
        <w:t>November 16</w:t>
      </w:r>
      <w:r w:rsidR="00781C3E" w:rsidRPr="001D399B">
        <w:t xml:space="preserve">, 2016.  </w:t>
      </w:r>
      <w:r w:rsidR="00B737B7" w:rsidRPr="001D399B">
        <w:t>The magistrate held d</w:t>
      </w:r>
      <w:r w:rsidR="00162221" w:rsidRPr="001D399B">
        <w:t>efendant to answer</w:t>
      </w:r>
      <w:r w:rsidR="00BF174C" w:rsidRPr="001D399B">
        <w:t xml:space="preserve"> </w:t>
      </w:r>
      <w:r w:rsidR="00F92D1E" w:rsidRPr="001D399B">
        <w:t>on all charges</w:t>
      </w:r>
      <w:r w:rsidR="00162221" w:rsidRPr="001D399B">
        <w:t xml:space="preserve">, and arraignment </w:t>
      </w:r>
      <w:r w:rsidR="00781C3E" w:rsidRPr="001D399B">
        <w:t xml:space="preserve">on an information </w:t>
      </w:r>
      <w:r w:rsidR="00162221" w:rsidRPr="001D399B">
        <w:t>was s</w:t>
      </w:r>
      <w:r w:rsidR="006E41C7" w:rsidRPr="001D399B">
        <w:t xml:space="preserve">cheduled </w:t>
      </w:r>
      <w:r w:rsidR="00162221" w:rsidRPr="001D399B">
        <w:t>for December 1</w:t>
      </w:r>
      <w:r w:rsidR="00781C3E" w:rsidRPr="001D399B">
        <w:t>, 2016</w:t>
      </w:r>
      <w:r w:rsidR="00162221" w:rsidRPr="001D399B">
        <w:t xml:space="preserve">.  The preliminary hearing in </w:t>
      </w:r>
      <w:r w:rsidR="000F49E9">
        <w:t xml:space="preserve">magistrate </w:t>
      </w:r>
      <w:r w:rsidR="00162221" w:rsidRPr="001D399B">
        <w:t xml:space="preserve">case </w:t>
      </w:r>
      <w:r w:rsidR="00781C3E" w:rsidRPr="001D399B">
        <w:t>1</w:t>
      </w:r>
      <w:r w:rsidR="00162221" w:rsidRPr="001D399B">
        <w:t xml:space="preserve">499 </w:t>
      </w:r>
      <w:r w:rsidR="00DB4112" w:rsidRPr="001D399B">
        <w:t xml:space="preserve">took place </w:t>
      </w:r>
      <w:r w:rsidR="00815F42" w:rsidRPr="001D399B">
        <w:t xml:space="preserve">six days later, </w:t>
      </w:r>
      <w:r w:rsidR="00162221" w:rsidRPr="001D399B">
        <w:t>on November 2</w:t>
      </w:r>
      <w:r w:rsidR="00162221" w:rsidRPr="0047127A">
        <w:t>2</w:t>
      </w:r>
      <w:r w:rsidR="00781C3E" w:rsidRPr="0047127A">
        <w:t>, 2016</w:t>
      </w:r>
      <w:r w:rsidR="00162221" w:rsidRPr="0047127A">
        <w:t xml:space="preserve">.  </w:t>
      </w:r>
      <w:r w:rsidR="00B737B7" w:rsidRPr="0047127A">
        <w:t>The magistrate again held d</w:t>
      </w:r>
      <w:r w:rsidR="00162221" w:rsidRPr="0047127A">
        <w:t>efendant to answer</w:t>
      </w:r>
      <w:r w:rsidR="007724AA" w:rsidRPr="0047127A">
        <w:t xml:space="preserve"> on all charges</w:t>
      </w:r>
      <w:r w:rsidR="00162221" w:rsidRPr="0047127A">
        <w:t xml:space="preserve">, and arraignment </w:t>
      </w:r>
      <w:r w:rsidR="00781C3E" w:rsidRPr="0047127A">
        <w:t xml:space="preserve">on an information </w:t>
      </w:r>
      <w:r w:rsidR="00162221" w:rsidRPr="0047127A">
        <w:t xml:space="preserve">was </w:t>
      </w:r>
      <w:r w:rsidR="007F7EE1" w:rsidRPr="0047127A">
        <w:t xml:space="preserve">again </w:t>
      </w:r>
      <w:r w:rsidR="00162221" w:rsidRPr="0047127A">
        <w:t>s</w:t>
      </w:r>
      <w:r w:rsidR="006E41C7" w:rsidRPr="0047127A">
        <w:t xml:space="preserve">cheduled </w:t>
      </w:r>
      <w:r w:rsidR="00162221" w:rsidRPr="0047127A">
        <w:t xml:space="preserve">for </w:t>
      </w:r>
      <w:r w:rsidR="00781C3E" w:rsidRPr="0047127A">
        <w:t>December 1, 2016</w:t>
      </w:r>
      <w:r w:rsidR="00822251" w:rsidRPr="0047127A">
        <w:t>.</w:t>
      </w:r>
    </w:p>
    <w:p w14:paraId="6EFCCC90" w14:textId="4E07031B" w:rsidR="00162221" w:rsidRPr="0047127A" w:rsidRDefault="005D6372" w:rsidP="0047127A">
      <w:pPr>
        <w:tabs>
          <w:tab w:val="left" w:pos="1440"/>
        </w:tabs>
        <w:ind w:firstLine="720"/>
      </w:pPr>
      <w:r w:rsidRPr="0047127A">
        <w:t>O</w:t>
      </w:r>
      <w:r w:rsidR="00162221" w:rsidRPr="0047127A">
        <w:t xml:space="preserve">n November 29, </w:t>
      </w:r>
      <w:r w:rsidRPr="0047127A">
        <w:t>2016, within 15 days of both commitment orders</w:t>
      </w:r>
      <w:r w:rsidR="00BF65F9" w:rsidRPr="0047127A">
        <w:t xml:space="preserve"> (see §§ 739, 860 [imposing a 15-day time limit])</w:t>
      </w:r>
      <w:r w:rsidRPr="0047127A">
        <w:t xml:space="preserve">, </w:t>
      </w:r>
      <w:r w:rsidR="00162221" w:rsidRPr="0047127A">
        <w:t>the</w:t>
      </w:r>
      <w:r w:rsidR="00EA65B8" w:rsidRPr="0047127A">
        <w:t xml:space="preserve"> </w:t>
      </w:r>
      <w:r w:rsidR="00162221" w:rsidRPr="0047127A">
        <w:t>People attempted to file a</w:t>
      </w:r>
      <w:r w:rsidRPr="0047127A">
        <w:t xml:space="preserve"> single </w:t>
      </w:r>
      <w:r w:rsidR="005E2D93" w:rsidRPr="0047127A">
        <w:t xml:space="preserve">combined </w:t>
      </w:r>
      <w:r w:rsidR="00162221" w:rsidRPr="0047127A">
        <w:t>information bearing</w:t>
      </w:r>
      <w:r w:rsidR="00CF2553" w:rsidRPr="0047127A">
        <w:t xml:space="preserve"> </w:t>
      </w:r>
      <w:r w:rsidR="00162221" w:rsidRPr="0047127A">
        <w:t xml:space="preserve">both </w:t>
      </w:r>
      <w:r w:rsidR="00493088">
        <w:t xml:space="preserve">magistrate </w:t>
      </w:r>
      <w:r w:rsidR="00162221" w:rsidRPr="0047127A">
        <w:t>case number</w:t>
      </w:r>
      <w:r w:rsidR="002F447C" w:rsidRPr="0047127A">
        <w:t xml:space="preserve">s, with </w:t>
      </w:r>
      <w:r w:rsidR="00493088">
        <w:t xml:space="preserve">magistrate </w:t>
      </w:r>
      <w:r w:rsidR="002F447C" w:rsidRPr="0047127A">
        <w:t xml:space="preserve">case </w:t>
      </w:r>
      <w:r w:rsidR="004A0FEB" w:rsidRPr="0047127A">
        <w:t>3119</w:t>
      </w:r>
      <w:r w:rsidR="002F447C" w:rsidRPr="0047127A">
        <w:t xml:space="preserve"> </w:t>
      </w:r>
      <w:r w:rsidR="00162221" w:rsidRPr="0047127A">
        <w:t xml:space="preserve">designated </w:t>
      </w:r>
      <w:r w:rsidRPr="0047127A">
        <w:t xml:space="preserve">as the </w:t>
      </w:r>
      <w:r w:rsidR="00DC3316" w:rsidRPr="0047127A">
        <w:t>l</w:t>
      </w:r>
      <w:r w:rsidR="00162221" w:rsidRPr="0047127A">
        <w:t>ead</w:t>
      </w:r>
      <w:r w:rsidRPr="0047127A">
        <w:t xml:space="preserve"> case.</w:t>
      </w:r>
      <w:r w:rsidR="008B47C3" w:rsidRPr="0047127A">
        <w:rPr>
          <w:rStyle w:val="FootnoteReference"/>
        </w:rPr>
        <w:footnoteReference w:id="4"/>
      </w:r>
      <w:r w:rsidR="00CC41E2" w:rsidRPr="0047127A">
        <w:t xml:space="preserve">  </w:t>
      </w:r>
      <w:r w:rsidR="00B04D2A" w:rsidRPr="0047127A">
        <w:t>C</w:t>
      </w:r>
      <w:r w:rsidR="00162221" w:rsidRPr="0047127A">
        <w:t xml:space="preserve">ounts 1 through 4 </w:t>
      </w:r>
      <w:r w:rsidR="002F447C" w:rsidRPr="0047127A">
        <w:t xml:space="preserve">of the combined information </w:t>
      </w:r>
      <w:r w:rsidR="00F92D1E" w:rsidRPr="0047127A">
        <w:t xml:space="preserve">tracked </w:t>
      </w:r>
      <w:r w:rsidR="00CD2C2A" w:rsidRPr="0047127A">
        <w:t>the</w:t>
      </w:r>
      <w:r w:rsidR="00CC41E2" w:rsidRPr="0047127A">
        <w:t xml:space="preserve"> </w:t>
      </w:r>
      <w:r w:rsidR="00162221" w:rsidRPr="0047127A">
        <w:t xml:space="preserve">charges </w:t>
      </w:r>
      <w:r w:rsidR="00CD2C2A" w:rsidRPr="0047127A">
        <w:t xml:space="preserve">upon which defendant was held to answer in </w:t>
      </w:r>
      <w:r w:rsidR="00493088">
        <w:t xml:space="preserve">magistrate </w:t>
      </w:r>
      <w:r w:rsidR="00162221" w:rsidRPr="0047127A">
        <w:t>case</w:t>
      </w:r>
      <w:r w:rsidR="00CC41E2" w:rsidRPr="0047127A">
        <w:t xml:space="preserve"> </w:t>
      </w:r>
      <w:r w:rsidRPr="0047127A">
        <w:t>1</w:t>
      </w:r>
      <w:r w:rsidR="00162221" w:rsidRPr="0047127A">
        <w:t>499</w:t>
      </w:r>
      <w:r w:rsidR="00B04D2A" w:rsidRPr="0047127A">
        <w:t>,</w:t>
      </w:r>
      <w:r w:rsidR="00162221" w:rsidRPr="0047127A">
        <w:t xml:space="preserve"> and</w:t>
      </w:r>
      <w:r w:rsidR="00CC41E2" w:rsidRPr="0047127A">
        <w:t xml:space="preserve"> </w:t>
      </w:r>
      <w:r w:rsidR="00162221" w:rsidRPr="0047127A">
        <w:t xml:space="preserve">counts 5 through 7 </w:t>
      </w:r>
      <w:r w:rsidR="00CD2C2A" w:rsidRPr="0047127A">
        <w:t xml:space="preserve">reflected </w:t>
      </w:r>
      <w:r w:rsidR="00F10688" w:rsidRPr="0047127A">
        <w:t xml:space="preserve">the </w:t>
      </w:r>
      <w:r w:rsidR="00CC41E2" w:rsidRPr="0047127A">
        <w:t xml:space="preserve">charges </w:t>
      </w:r>
      <w:r w:rsidR="003829E1" w:rsidRPr="0047127A">
        <w:t xml:space="preserve">upon </w:t>
      </w:r>
      <w:r w:rsidR="00F10688" w:rsidRPr="0047127A">
        <w:t xml:space="preserve">which defendant was held to answer in </w:t>
      </w:r>
      <w:r w:rsidR="00493088">
        <w:t xml:space="preserve">magistrate </w:t>
      </w:r>
      <w:r w:rsidR="00162221" w:rsidRPr="0047127A">
        <w:t xml:space="preserve">case </w:t>
      </w:r>
      <w:r w:rsidRPr="0047127A">
        <w:t>3</w:t>
      </w:r>
      <w:r w:rsidR="00162221" w:rsidRPr="0047127A">
        <w:t>119.</w:t>
      </w:r>
      <w:r w:rsidR="00CC41E2" w:rsidRPr="0047127A">
        <w:t xml:space="preserve">  </w:t>
      </w:r>
      <w:r w:rsidR="0052238D" w:rsidRPr="0047127A">
        <w:t>Th</w:t>
      </w:r>
      <w:r w:rsidR="005E2D93" w:rsidRPr="0047127A">
        <w:t>e</w:t>
      </w:r>
      <w:r w:rsidR="00F92D1E" w:rsidRPr="0047127A">
        <w:t xml:space="preserve"> </w:t>
      </w:r>
      <w:r w:rsidR="0052238D" w:rsidRPr="0047127A">
        <w:t xml:space="preserve"> information was </w:t>
      </w:r>
      <w:r w:rsidR="005E2D93" w:rsidRPr="0047127A">
        <w:t xml:space="preserve">initially </w:t>
      </w:r>
      <w:r w:rsidR="0052238D" w:rsidRPr="0047127A">
        <w:t>rejected</w:t>
      </w:r>
      <w:r w:rsidR="00F92D1E" w:rsidRPr="0047127A">
        <w:t xml:space="preserve"> by the</w:t>
      </w:r>
      <w:r w:rsidR="00CC41E2" w:rsidRPr="0047127A">
        <w:t xml:space="preserve"> c</w:t>
      </w:r>
      <w:r w:rsidR="00F92D1E" w:rsidRPr="0047127A">
        <w:t>lerk’s office.</w:t>
      </w:r>
      <w:r w:rsidR="00CC41E2" w:rsidRPr="0047127A">
        <w:t xml:space="preserve">  </w:t>
      </w:r>
      <w:r w:rsidRPr="0047127A">
        <w:t xml:space="preserve">On the </w:t>
      </w:r>
      <w:r w:rsidRPr="0047127A">
        <w:lastRenderedPageBreak/>
        <w:t xml:space="preserve">face page of the information, a </w:t>
      </w:r>
      <w:r w:rsidR="00162221" w:rsidRPr="0047127A">
        <w:t xml:space="preserve">file stamp bearing the date </w:t>
      </w:r>
      <w:r w:rsidRPr="0047127A">
        <w:t>“</w:t>
      </w:r>
      <w:r w:rsidR="00162221" w:rsidRPr="0047127A">
        <w:t>November 29</w:t>
      </w:r>
      <w:r w:rsidRPr="0047127A">
        <w:t>, 2016”</w:t>
      </w:r>
      <w:r w:rsidR="00162221" w:rsidRPr="0047127A">
        <w:t xml:space="preserve"> </w:t>
      </w:r>
      <w:r w:rsidR="004A0FEB" w:rsidRPr="0047127A">
        <w:t xml:space="preserve">is </w:t>
      </w:r>
      <w:r w:rsidR="00162221" w:rsidRPr="0047127A">
        <w:t>crossed out by hand</w:t>
      </w:r>
      <w:r w:rsidR="002F447C" w:rsidRPr="0047127A">
        <w:t>,</w:t>
      </w:r>
      <w:r w:rsidR="00162221" w:rsidRPr="0047127A">
        <w:t xml:space="preserve"> and </w:t>
      </w:r>
      <w:r w:rsidR="005E2D93" w:rsidRPr="0047127A">
        <w:t xml:space="preserve">the </w:t>
      </w:r>
      <w:r w:rsidR="002F447C" w:rsidRPr="0047127A">
        <w:t xml:space="preserve">cross-out </w:t>
      </w:r>
      <w:r w:rsidR="005E2D93" w:rsidRPr="0047127A">
        <w:t>is</w:t>
      </w:r>
      <w:r w:rsidR="002F447C" w:rsidRPr="0047127A">
        <w:t xml:space="preserve"> </w:t>
      </w:r>
      <w:r w:rsidR="00162221" w:rsidRPr="0047127A">
        <w:t>initialed</w:t>
      </w:r>
      <w:r w:rsidRPr="0047127A">
        <w:t xml:space="preserve">, suggesting that someone in the clerk’s office raised a question about the form of the pleading.  </w:t>
      </w:r>
      <w:r w:rsidR="00162221" w:rsidRPr="0047127A">
        <w:t xml:space="preserve">The </w:t>
      </w:r>
      <w:r w:rsidRPr="0047127A">
        <w:t xml:space="preserve">same </w:t>
      </w:r>
      <w:r w:rsidR="00162221" w:rsidRPr="0047127A">
        <w:t xml:space="preserve">information was then filed </w:t>
      </w:r>
      <w:r w:rsidR="004C079A" w:rsidRPr="0047127A">
        <w:t xml:space="preserve">two days later, </w:t>
      </w:r>
      <w:r w:rsidR="00162221" w:rsidRPr="0047127A">
        <w:t>on December 1</w:t>
      </w:r>
      <w:r w:rsidRPr="0047127A">
        <w:t>, 2016</w:t>
      </w:r>
      <w:r w:rsidR="00EC413E">
        <w:t xml:space="preserve"> (still </w:t>
      </w:r>
      <w:r w:rsidR="00EC413E" w:rsidRPr="00EC413E">
        <w:t>within 15 days of both commitment orders</w:t>
      </w:r>
      <w:r w:rsidR="00EC413E">
        <w:t>)</w:t>
      </w:r>
      <w:r w:rsidRPr="0047127A">
        <w:t>,</w:t>
      </w:r>
      <w:r w:rsidR="00EC413E">
        <w:t xml:space="preserve"> </w:t>
      </w:r>
      <w:r w:rsidRPr="0047127A">
        <w:t xml:space="preserve">and the word “CONSOLIDATED” was </w:t>
      </w:r>
      <w:r w:rsidR="002F447C" w:rsidRPr="0047127A">
        <w:t xml:space="preserve">written by hand </w:t>
      </w:r>
      <w:r w:rsidR="00162221" w:rsidRPr="0047127A">
        <w:t xml:space="preserve">above </w:t>
      </w:r>
      <w:r w:rsidRPr="0047127A">
        <w:t xml:space="preserve">the word </w:t>
      </w:r>
      <w:r w:rsidR="00162221" w:rsidRPr="0047127A">
        <w:t>“INFORMATION</w:t>
      </w:r>
      <w:r w:rsidR="00B04D2A" w:rsidRPr="0047127A">
        <w:t>.</w:t>
      </w:r>
      <w:r w:rsidR="00162221" w:rsidRPr="0047127A">
        <w:t>”</w:t>
      </w:r>
      <w:r w:rsidR="000C1D65" w:rsidRPr="0047127A">
        <w:rPr>
          <w:rStyle w:val="FootnoteReference"/>
        </w:rPr>
        <w:footnoteReference w:id="5"/>
      </w:r>
    </w:p>
    <w:p w14:paraId="7340958A" w14:textId="77777777" w:rsidR="00E310F1" w:rsidRPr="0047127A" w:rsidRDefault="00E310F1" w:rsidP="0047127A">
      <w:pPr>
        <w:pStyle w:val="Heading2"/>
      </w:pPr>
      <w:r w:rsidRPr="0047127A">
        <w:t>B. Objection to Combined Information</w:t>
      </w:r>
      <w:r w:rsidR="00977B42" w:rsidRPr="0047127A">
        <w:t xml:space="preserve"> at </w:t>
      </w:r>
      <w:r w:rsidR="00FD7754" w:rsidRPr="0047127A">
        <w:t xml:space="preserve">the </w:t>
      </w:r>
      <w:r w:rsidR="00977B42" w:rsidRPr="0047127A">
        <w:t>Arraignment</w:t>
      </w:r>
    </w:p>
    <w:p w14:paraId="0FB5B843" w14:textId="49564FB8" w:rsidR="0007744C" w:rsidRPr="0047127A" w:rsidRDefault="00F92D1E" w:rsidP="0047127A">
      <w:pPr>
        <w:tabs>
          <w:tab w:val="left" w:pos="1440"/>
        </w:tabs>
        <w:ind w:firstLine="720"/>
      </w:pPr>
      <w:r w:rsidRPr="0047127A">
        <w:t xml:space="preserve">Defendant was </w:t>
      </w:r>
      <w:r w:rsidR="003B17AE" w:rsidRPr="0047127A">
        <w:t xml:space="preserve">scheduled to be </w:t>
      </w:r>
      <w:r w:rsidRPr="0047127A">
        <w:t xml:space="preserve">arraigned on </w:t>
      </w:r>
      <w:r w:rsidR="005E2D93" w:rsidRPr="0047127A">
        <w:t xml:space="preserve">the </w:t>
      </w:r>
      <w:r w:rsidR="00F77E42" w:rsidRPr="0047127A">
        <w:t xml:space="preserve">joint </w:t>
      </w:r>
      <w:r w:rsidR="005E2D93" w:rsidRPr="0047127A">
        <w:t>information</w:t>
      </w:r>
      <w:r w:rsidRPr="0047127A">
        <w:t xml:space="preserve"> </w:t>
      </w:r>
      <w:r w:rsidR="00FD7754" w:rsidRPr="0047127A">
        <w:t>on</w:t>
      </w:r>
      <w:r w:rsidR="005D6372" w:rsidRPr="0047127A">
        <w:t xml:space="preserve"> the same day</w:t>
      </w:r>
      <w:r w:rsidR="00FD7754" w:rsidRPr="0047127A">
        <w:t xml:space="preserve"> as </w:t>
      </w:r>
      <w:r w:rsidR="005E2D93" w:rsidRPr="0047127A">
        <w:t xml:space="preserve">its </w:t>
      </w:r>
      <w:r w:rsidR="00FD7754" w:rsidRPr="0047127A">
        <w:t>filing</w:t>
      </w:r>
      <w:r w:rsidR="005D6372" w:rsidRPr="0047127A">
        <w:t xml:space="preserve">, </w:t>
      </w:r>
      <w:r w:rsidR="00D6237F" w:rsidRPr="0047127A">
        <w:t xml:space="preserve">but </w:t>
      </w:r>
      <w:r w:rsidR="005D6372" w:rsidRPr="0047127A">
        <w:t>a compl</w:t>
      </w:r>
      <w:r w:rsidR="00667BBE" w:rsidRPr="0047127A">
        <w:t xml:space="preserve">ication </w:t>
      </w:r>
      <w:r w:rsidR="005D6372" w:rsidRPr="0047127A">
        <w:t>arose regarding defendant’s representation.</w:t>
      </w:r>
      <w:r w:rsidR="00D6237F" w:rsidRPr="0047127A">
        <w:t xml:space="preserve">  </w:t>
      </w:r>
      <w:r w:rsidR="005D6372" w:rsidRPr="0047127A">
        <w:t xml:space="preserve">The public defender’s office </w:t>
      </w:r>
      <w:r w:rsidR="00364264" w:rsidRPr="0047127A">
        <w:t xml:space="preserve">had </w:t>
      </w:r>
      <w:r w:rsidR="00DE24C6" w:rsidRPr="0047127A">
        <w:t xml:space="preserve">earlier declared </w:t>
      </w:r>
      <w:r w:rsidR="00364264" w:rsidRPr="0047127A">
        <w:t xml:space="preserve">a conflict </w:t>
      </w:r>
      <w:r w:rsidR="00F849F4" w:rsidRPr="0047127A">
        <w:t>i</w:t>
      </w:r>
      <w:bookmarkStart w:id="6" w:name="_Hlk57382866"/>
      <w:r w:rsidR="00F849F4" w:rsidRPr="0047127A">
        <w:t>n</w:t>
      </w:r>
      <w:r w:rsidR="00364264" w:rsidRPr="0047127A">
        <w:t xml:space="preserve"> </w:t>
      </w:r>
      <w:r w:rsidR="0096574C" w:rsidRPr="0047127A">
        <w:t xml:space="preserve">magistrate </w:t>
      </w:r>
      <w:r w:rsidR="005D6372" w:rsidRPr="0047127A">
        <w:t xml:space="preserve">case </w:t>
      </w:r>
      <w:r w:rsidR="00364264" w:rsidRPr="0047127A">
        <w:t xml:space="preserve">3119, but not </w:t>
      </w:r>
      <w:r w:rsidR="00F849F4" w:rsidRPr="0047127A">
        <w:t xml:space="preserve">in </w:t>
      </w:r>
      <w:r w:rsidR="0096574C" w:rsidRPr="0047127A">
        <w:t xml:space="preserve">magistrate </w:t>
      </w:r>
      <w:r w:rsidR="00364264" w:rsidRPr="0047127A">
        <w:t>case 1499</w:t>
      </w:r>
      <w:bookmarkEnd w:id="6"/>
      <w:r w:rsidR="00796B81" w:rsidRPr="0047127A">
        <w:t xml:space="preserve">, and </w:t>
      </w:r>
      <w:r w:rsidR="003B17AE" w:rsidRPr="0047127A">
        <w:t xml:space="preserve">therefore </w:t>
      </w:r>
      <w:r w:rsidR="00C67B26" w:rsidRPr="0047127A">
        <w:t>“</w:t>
      </w:r>
      <w:r w:rsidR="00796B81" w:rsidRPr="0047127A">
        <w:t>conflict counsel</w:t>
      </w:r>
      <w:r w:rsidR="00C67B26" w:rsidRPr="0047127A">
        <w:t>”</w:t>
      </w:r>
      <w:r w:rsidR="00796B81" w:rsidRPr="0047127A">
        <w:t xml:space="preserve"> </w:t>
      </w:r>
      <w:r w:rsidR="00087E54" w:rsidRPr="0047127A">
        <w:t xml:space="preserve">had been appointed to </w:t>
      </w:r>
      <w:r w:rsidR="00796B81" w:rsidRPr="0047127A">
        <w:t xml:space="preserve">represent defendant in </w:t>
      </w:r>
      <w:r w:rsidR="004D7A1F" w:rsidRPr="0047127A">
        <w:t xml:space="preserve">magistrate </w:t>
      </w:r>
      <w:r w:rsidR="00796B81" w:rsidRPr="0047127A">
        <w:t>case 3119</w:t>
      </w:r>
      <w:r w:rsidR="00F10688" w:rsidRPr="0047127A">
        <w:t>.</w:t>
      </w:r>
      <w:r w:rsidR="00D6237F" w:rsidRPr="0047127A">
        <w:t xml:space="preserve">  </w:t>
      </w:r>
      <w:r w:rsidR="00E96A1B" w:rsidRPr="0047127A">
        <w:t xml:space="preserve">But </w:t>
      </w:r>
      <w:r w:rsidR="00087E54" w:rsidRPr="0047127A">
        <w:t xml:space="preserve">the filing of an information initiates a </w:t>
      </w:r>
      <w:r w:rsidR="00CC6813" w:rsidRPr="0047127A">
        <w:t xml:space="preserve">new </w:t>
      </w:r>
      <w:r w:rsidR="00087E54" w:rsidRPr="0047127A">
        <w:t>proceeding</w:t>
      </w:r>
      <w:r w:rsidR="00F77E42" w:rsidRPr="0047127A">
        <w:t xml:space="preserve"> </w:t>
      </w:r>
      <w:r w:rsidR="00CC6813" w:rsidRPr="0047127A">
        <w:t xml:space="preserve">that is institutionally distinct from the magistrate proceeding, </w:t>
      </w:r>
      <w:r w:rsidR="00087E54" w:rsidRPr="0047127A">
        <w:t xml:space="preserve">and therefore </w:t>
      </w:r>
      <w:r w:rsidR="00E96A1B" w:rsidRPr="0047127A">
        <w:t xml:space="preserve">defense counsel </w:t>
      </w:r>
      <w:r w:rsidR="00F77E42" w:rsidRPr="0047127A">
        <w:t xml:space="preserve">is </w:t>
      </w:r>
      <w:r w:rsidR="00E96A1B" w:rsidRPr="0047127A">
        <w:t xml:space="preserve">appointed anew at the arraignment on </w:t>
      </w:r>
      <w:r w:rsidR="00F77E42" w:rsidRPr="0047127A">
        <w:t xml:space="preserve">an </w:t>
      </w:r>
      <w:r w:rsidR="00E96A1B" w:rsidRPr="0047127A">
        <w:t xml:space="preserve">information.  </w:t>
      </w:r>
      <w:r w:rsidR="00035578" w:rsidRPr="0047127A">
        <w:t>(</w:t>
      </w:r>
      <w:r w:rsidR="00E96A1B" w:rsidRPr="0047127A">
        <w:t>S</w:t>
      </w:r>
      <w:r w:rsidR="00035578" w:rsidRPr="0047127A">
        <w:t xml:space="preserve">ee </w:t>
      </w:r>
      <w:r w:rsidR="00035578" w:rsidRPr="0047127A">
        <w:rPr>
          <w:i/>
          <w:iCs/>
        </w:rPr>
        <w:t>Lempert v. Superior Court</w:t>
      </w:r>
      <w:r w:rsidR="00035578" w:rsidRPr="0047127A">
        <w:t xml:space="preserve"> (2003) 112 Cal.App.4th 1161, 1170–1171</w:t>
      </w:r>
      <w:r w:rsidR="00CC6813" w:rsidRPr="0047127A">
        <w:t>; see also § 987.1</w:t>
      </w:r>
      <w:r w:rsidR="00E96A1B" w:rsidRPr="0047127A">
        <w:t>.</w:t>
      </w:r>
      <w:r w:rsidR="00035578" w:rsidRPr="0047127A">
        <w:t>)</w:t>
      </w:r>
      <w:r w:rsidR="00E96A1B" w:rsidRPr="0047127A">
        <w:t xml:space="preserve">  B</w:t>
      </w:r>
      <w:r w:rsidR="003B17AE" w:rsidRPr="0047127A">
        <w:t xml:space="preserve">ecause the information </w:t>
      </w:r>
      <w:r w:rsidR="00087E54" w:rsidRPr="0047127A">
        <w:t xml:space="preserve">filed in this case </w:t>
      </w:r>
      <w:r w:rsidR="003B17AE" w:rsidRPr="0047127A">
        <w:t xml:space="preserve">combined the charges from the two </w:t>
      </w:r>
      <w:r w:rsidR="004D7A1F" w:rsidRPr="0047127A">
        <w:t xml:space="preserve">magistrate </w:t>
      </w:r>
      <w:r w:rsidR="00087E54" w:rsidRPr="0047127A">
        <w:t>proceedings</w:t>
      </w:r>
      <w:r w:rsidR="003B17AE" w:rsidRPr="0047127A">
        <w:t xml:space="preserve">, </w:t>
      </w:r>
      <w:r w:rsidR="00F77E42" w:rsidRPr="0047127A">
        <w:lastRenderedPageBreak/>
        <w:t xml:space="preserve">and because the public defender’s office had declared a conflict in magistrate case 3119, </w:t>
      </w:r>
      <w:r w:rsidR="002B0186" w:rsidRPr="0047127A">
        <w:t>t</w:t>
      </w:r>
      <w:r w:rsidR="00364264" w:rsidRPr="0047127A">
        <w:t xml:space="preserve">he </w:t>
      </w:r>
      <w:r w:rsidR="00162221" w:rsidRPr="0047127A">
        <w:t>deputy public defender</w:t>
      </w:r>
      <w:r w:rsidR="002B0186" w:rsidRPr="0047127A">
        <w:t xml:space="preserve"> </w:t>
      </w:r>
      <w:r w:rsidR="00035578" w:rsidRPr="0047127A">
        <w:t xml:space="preserve">requested </w:t>
      </w:r>
      <w:r w:rsidR="00364264" w:rsidRPr="0047127A">
        <w:t xml:space="preserve">a </w:t>
      </w:r>
      <w:r w:rsidR="00162221" w:rsidRPr="0047127A">
        <w:t>continuance to make a conflict determination.</w:t>
      </w:r>
    </w:p>
    <w:p w14:paraId="496A8FD2" w14:textId="27B9FA58" w:rsidR="00162221" w:rsidRPr="0047127A" w:rsidRDefault="00162221" w:rsidP="0047127A">
      <w:pPr>
        <w:tabs>
          <w:tab w:val="left" w:pos="1440"/>
        </w:tabs>
        <w:ind w:firstLine="720"/>
      </w:pPr>
      <w:r w:rsidRPr="0047127A">
        <w:t>At the</w:t>
      </w:r>
      <w:r w:rsidR="00364264" w:rsidRPr="0047127A">
        <w:t xml:space="preserve"> </w:t>
      </w:r>
      <w:r w:rsidRPr="0047127A">
        <w:t xml:space="preserve">hearing </w:t>
      </w:r>
      <w:r w:rsidR="00364264" w:rsidRPr="0047127A">
        <w:t xml:space="preserve">a week later, </w:t>
      </w:r>
      <w:r w:rsidRPr="0047127A">
        <w:t>on December 8,</w:t>
      </w:r>
      <w:r w:rsidR="00F849F4" w:rsidRPr="0047127A">
        <w:t xml:space="preserve"> </w:t>
      </w:r>
      <w:r w:rsidR="00882813" w:rsidRPr="0047127A">
        <w:t>t</w:t>
      </w:r>
      <w:r w:rsidRPr="0047127A">
        <w:t xml:space="preserve">he deputy public defender stated that her office </w:t>
      </w:r>
      <w:r w:rsidR="005A4296" w:rsidRPr="0047127A">
        <w:t xml:space="preserve">would </w:t>
      </w:r>
      <w:r w:rsidRPr="0047127A">
        <w:t xml:space="preserve">need to “conflict off” the </w:t>
      </w:r>
      <w:r w:rsidR="005A4296" w:rsidRPr="0047127A">
        <w:t xml:space="preserve">case </w:t>
      </w:r>
      <w:r w:rsidR="00D20FA6" w:rsidRPr="0047127A">
        <w:t xml:space="preserve">if the </w:t>
      </w:r>
      <w:r w:rsidR="00F641D9" w:rsidRPr="0047127A">
        <w:t xml:space="preserve">two </w:t>
      </w:r>
      <w:r w:rsidR="004D7A1F" w:rsidRPr="0047127A">
        <w:t xml:space="preserve">magistrate </w:t>
      </w:r>
      <w:r w:rsidR="00F641D9" w:rsidRPr="0047127A">
        <w:t xml:space="preserve">cases were combined into </w:t>
      </w:r>
      <w:r w:rsidR="00CC6813" w:rsidRPr="0047127A">
        <w:t xml:space="preserve">a single trial court </w:t>
      </w:r>
      <w:r w:rsidR="004D7A1F" w:rsidRPr="0047127A">
        <w:t>case</w:t>
      </w:r>
      <w:r w:rsidR="00D20FA6" w:rsidRPr="0047127A">
        <w:t xml:space="preserve">.  </w:t>
      </w:r>
      <w:r w:rsidR="00882813" w:rsidRPr="0047127A">
        <w:t>C</w:t>
      </w:r>
      <w:r w:rsidRPr="0047127A">
        <w:t>onflict counsel</w:t>
      </w:r>
      <w:r w:rsidR="00F22C71" w:rsidRPr="0047127A">
        <w:t xml:space="preserve"> </w:t>
      </w:r>
      <w:r w:rsidR="00882813" w:rsidRPr="0047127A">
        <w:t xml:space="preserve">then </w:t>
      </w:r>
      <w:r w:rsidRPr="0047127A">
        <w:t>asked whether the arraignment judge was willing</w:t>
      </w:r>
      <w:r w:rsidR="0046141C" w:rsidRPr="0047127A">
        <w:t xml:space="preserve"> </w:t>
      </w:r>
      <w:r w:rsidRPr="0047127A">
        <w:t xml:space="preserve">to hear her </w:t>
      </w:r>
      <w:r w:rsidR="0007744C" w:rsidRPr="0047127A">
        <w:t xml:space="preserve">oral </w:t>
      </w:r>
      <w:r w:rsidRPr="0047127A">
        <w:t xml:space="preserve">objection to </w:t>
      </w:r>
      <w:r w:rsidR="00F849F4" w:rsidRPr="0047127A">
        <w:t xml:space="preserve">the </w:t>
      </w:r>
      <w:r w:rsidR="005B267F" w:rsidRPr="0047127A">
        <w:t>information.</w:t>
      </w:r>
      <w:r w:rsidR="00020AFC" w:rsidRPr="0047127A">
        <w:t xml:space="preserve">  </w:t>
      </w:r>
      <w:r w:rsidR="00F641D9" w:rsidRPr="0047127A">
        <w:t>Co</w:t>
      </w:r>
      <w:r w:rsidR="0046141C" w:rsidRPr="0047127A">
        <w:t>nflict co</w:t>
      </w:r>
      <w:r w:rsidR="00F641D9" w:rsidRPr="0047127A">
        <w:t xml:space="preserve">unsel </w:t>
      </w:r>
      <w:r w:rsidR="00F10688" w:rsidRPr="0047127A">
        <w:t xml:space="preserve">took the position that </w:t>
      </w:r>
      <w:r w:rsidR="00F641D9" w:rsidRPr="0047127A">
        <w:t xml:space="preserve">the </w:t>
      </w:r>
      <w:r w:rsidR="00C67B26" w:rsidRPr="0047127A">
        <w:t xml:space="preserve">charges from the </w:t>
      </w:r>
      <w:r w:rsidR="00F641D9" w:rsidRPr="0047127A">
        <w:t xml:space="preserve">two </w:t>
      </w:r>
      <w:r w:rsidR="00610792" w:rsidRPr="0047127A">
        <w:t xml:space="preserve">magistrate </w:t>
      </w:r>
      <w:r w:rsidR="00F641D9" w:rsidRPr="0047127A">
        <w:t xml:space="preserve">cases could </w:t>
      </w:r>
      <w:r w:rsidR="00AF4F0B" w:rsidRPr="0047127A">
        <w:t xml:space="preserve">not </w:t>
      </w:r>
      <w:r w:rsidR="00F641D9" w:rsidRPr="0047127A">
        <w:t xml:space="preserve">be combined </w:t>
      </w:r>
      <w:r w:rsidR="00E72630" w:rsidRPr="0047127A">
        <w:t>in</w:t>
      </w:r>
      <w:r w:rsidR="001E1119" w:rsidRPr="0047127A">
        <w:t>to</w:t>
      </w:r>
      <w:r w:rsidR="00E72630" w:rsidRPr="0047127A">
        <w:t xml:space="preserve"> a single information </w:t>
      </w:r>
      <w:r w:rsidR="00AF4F0B" w:rsidRPr="0047127A">
        <w:t>without a</w:t>
      </w:r>
      <w:r w:rsidR="00020AFC" w:rsidRPr="0047127A">
        <w:t xml:space="preserve"> </w:t>
      </w:r>
      <w:r w:rsidR="00F641D9" w:rsidRPr="0047127A">
        <w:t>consolidation order</w:t>
      </w:r>
      <w:r w:rsidR="004C6C01" w:rsidRPr="0047127A">
        <w:t xml:space="preserve">.  </w:t>
      </w:r>
      <w:r w:rsidR="00F22C71" w:rsidRPr="0047127A">
        <w:t>In response, t</w:t>
      </w:r>
      <w:r w:rsidR="00F641D9" w:rsidRPr="0047127A">
        <w:t xml:space="preserve">he arraignment judge </w:t>
      </w:r>
      <w:r w:rsidR="00F22C71" w:rsidRPr="0047127A">
        <w:t xml:space="preserve">expressed his view </w:t>
      </w:r>
      <w:r w:rsidR="00F641D9" w:rsidRPr="0047127A">
        <w:t>that the Penal Code</w:t>
      </w:r>
      <w:r w:rsidR="00020AFC" w:rsidRPr="0047127A">
        <w:t xml:space="preserve"> </w:t>
      </w:r>
      <w:r w:rsidR="00F641D9" w:rsidRPr="0047127A">
        <w:t xml:space="preserve">permitted the People to file joint pleadings without leave of </w:t>
      </w:r>
      <w:r w:rsidR="00E6628A" w:rsidRPr="0047127A">
        <w:t xml:space="preserve">the </w:t>
      </w:r>
      <w:r w:rsidR="00F641D9" w:rsidRPr="0047127A">
        <w:t>court.</w:t>
      </w:r>
      <w:r w:rsidR="00B537C5" w:rsidRPr="0047127A">
        <w:t xml:space="preserve">  </w:t>
      </w:r>
      <w:r w:rsidR="00F641D9" w:rsidRPr="0047127A">
        <w:t>A</w:t>
      </w:r>
      <w:r w:rsidR="005B267F" w:rsidRPr="0047127A">
        <w:t xml:space="preserve">fter some discussion, </w:t>
      </w:r>
      <w:r w:rsidRPr="0047127A">
        <w:t>the matter was continued for another week.</w:t>
      </w:r>
    </w:p>
    <w:p w14:paraId="44F90788" w14:textId="13482CE8" w:rsidR="00811719" w:rsidRPr="0047127A" w:rsidRDefault="00162221" w:rsidP="0047127A">
      <w:pPr>
        <w:tabs>
          <w:tab w:val="left" w:pos="1440"/>
        </w:tabs>
        <w:ind w:firstLine="720"/>
      </w:pPr>
      <w:r w:rsidRPr="0047127A">
        <w:t xml:space="preserve">At the hearing </w:t>
      </w:r>
      <w:r w:rsidR="005B267F" w:rsidRPr="0047127A">
        <w:t>o</w:t>
      </w:r>
      <w:r w:rsidRPr="0047127A">
        <w:t xml:space="preserve">n December 15, conflict counsel </w:t>
      </w:r>
      <w:r w:rsidR="00A5619B" w:rsidRPr="0047127A">
        <w:t xml:space="preserve">again </w:t>
      </w:r>
      <w:r w:rsidR="00F641D9" w:rsidRPr="0047127A">
        <w:t>argued</w:t>
      </w:r>
      <w:bookmarkStart w:id="7" w:name="_Hlk56520844"/>
      <w:r w:rsidR="00F641D9" w:rsidRPr="0047127A">
        <w:t xml:space="preserve"> that </w:t>
      </w:r>
      <w:r w:rsidR="00BD7996" w:rsidRPr="0047127A">
        <w:t xml:space="preserve">a consolidation order was required to </w:t>
      </w:r>
      <w:r w:rsidR="00F641D9" w:rsidRPr="0047127A">
        <w:t xml:space="preserve">combine </w:t>
      </w:r>
      <w:r w:rsidR="00FE68C9" w:rsidRPr="0047127A">
        <w:t>c</w:t>
      </w:r>
      <w:r w:rsidR="003B17AE" w:rsidRPr="0047127A">
        <w:t>harges</w:t>
      </w:r>
      <w:r w:rsidR="00FE68C9" w:rsidRPr="0047127A">
        <w:t xml:space="preserve"> from different </w:t>
      </w:r>
      <w:r w:rsidR="00610792" w:rsidRPr="0047127A">
        <w:t xml:space="preserve">magistrate </w:t>
      </w:r>
      <w:r w:rsidR="00BD7996" w:rsidRPr="0047127A">
        <w:t>cases</w:t>
      </w:r>
      <w:r w:rsidR="00FE68C9" w:rsidRPr="0047127A">
        <w:t>.</w:t>
      </w:r>
      <w:bookmarkEnd w:id="7"/>
      <w:r w:rsidR="00A26B15" w:rsidRPr="0047127A">
        <w:t xml:space="preserve">  </w:t>
      </w:r>
      <w:r w:rsidRPr="0047127A">
        <w:t xml:space="preserve">The arraignment judge </w:t>
      </w:r>
      <w:r w:rsidR="00591973" w:rsidRPr="0047127A">
        <w:t xml:space="preserve">then </w:t>
      </w:r>
      <w:r w:rsidR="00990A75" w:rsidRPr="0047127A">
        <w:t>sought guidance from conflict counsel as to the proper vehicle to</w:t>
      </w:r>
      <w:r w:rsidR="00563E85" w:rsidRPr="0047127A">
        <w:t xml:space="preserve"> </w:t>
      </w:r>
      <w:r w:rsidR="004C6C01" w:rsidRPr="0047127A">
        <w:t xml:space="preserve">bring </w:t>
      </w:r>
      <w:r w:rsidRPr="0047127A">
        <w:t>th</w:t>
      </w:r>
      <w:r w:rsidR="005B3FCC" w:rsidRPr="0047127A">
        <w:t>e</w:t>
      </w:r>
      <w:r w:rsidRPr="0047127A">
        <w:t xml:space="preserve"> issue </w:t>
      </w:r>
      <w:r w:rsidR="00591973" w:rsidRPr="0047127A">
        <w:t xml:space="preserve">before </w:t>
      </w:r>
      <w:r w:rsidRPr="0047127A">
        <w:t>the court</w:t>
      </w:r>
      <w:r w:rsidR="00591973" w:rsidRPr="0047127A">
        <w:t xml:space="preserve">, noting that </w:t>
      </w:r>
      <w:r w:rsidR="00882813" w:rsidRPr="0047127A">
        <w:t>at an arraignment</w:t>
      </w:r>
      <w:r w:rsidR="0028257D" w:rsidRPr="0047127A">
        <w:t xml:space="preserve"> the law </w:t>
      </w:r>
      <w:r w:rsidRPr="0047127A">
        <w:t>only permit</w:t>
      </w:r>
      <w:r w:rsidR="00DF2786" w:rsidRPr="0047127A">
        <w:t>s</w:t>
      </w:r>
      <w:r w:rsidRPr="0047127A">
        <w:t xml:space="preserve"> a defendant to enter a demurrer or a plea.</w:t>
      </w:r>
      <w:r w:rsidR="00B77C92" w:rsidRPr="0047127A">
        <w:rPr>
          <w:rStyle w:val="FootnoteReference"/>
        </w:rPr>
        <w:footnoteReference w:id="6"/>
      </w:r>
      <w:r w:rsidR="00A26B15" w:rsidRPr="0047127A">
        <w:t xml:space="preserve">  </w:t>
      </w:r>
      <w:r w:rsidRPr="0047127A">
        <w:t xml:space="preserve">The </w:t>
      </w:r>
      <w:r w:rsidR="0028257D" w:rsidRPr="0047127A">
        <w:t xml:space="preserve">arraignment </w:t>
      </w:r>
      <w:r w:rsidRPr="0047127A">
        <w:t xml:space="preserve">judge stated </w:t>
      </w:r>
      <w:r w:rsidR="00DF2786" w:rsidRPr="0047127A">
        <w:t xml:space="preserve">that </w:t>
      </w:r>
      <w:r w:rsidRPr="0047127A">
        <w:t>he was “not unsympathetic</w:t>
      </w:r>
      <w:r w:rsidR="00882813" w:rsidRPr="0047127A">
        <w:t xml:space="preserve">” to conflict counsel’s argument, </w:t>
      </w:r>
      <w:r w:rsidRPr="0047127A">
        <w:t>but h</w:t>
      </w:r>
      <w:r w:rsidR="00DF2786" w:rsidRPr="0047127A">
        <w:t xml:space="preserve">e </w:t>
      </w:r>
      <w:r w:rsidRPr="0047127A">
        <w:t xml:space="preserve">did not know how the issue could be </w:t>
      </w:r>
      <w:r w:rsidR="00DF2786" w:rsidRPr="0047127A">
        <w:t xml:space="preserve">raised </w:t>
      </w:r>
      <w:r w:rsidRPr="0047127A">
        <w:t xml:space="preserve">except by entering a plea and </w:t>
      </w:r>
      <w:r w:rsidR="00DF2786" w:rsidRPr="0047127A">
        <w:t xml:space="preserve">then </w:t>
      </w:r>
      <w:r w:rsidRPr="0047127A">
        <w:t>filing a motion to sever</w:t>
      </w:r>
      <w:r w:rsidR="001E1119" w:rsidRPr="0047127A">
        <w:t xml:space="preserve"> (see § 954)</w:t>
      </w:r>
      <w:r w:rsidRPr="0047127A">
        <w:t>, or by</w:t>
      </w:r>
      <w:r w:rsidR="00DF2786" w:rsidRPr="0047127A">
        <w:t xml:space="preserve"> demurrer </w:t>
      </w:r>
      <w:r w:rsidR="002435F2" w:rsidRPr="0047127A">
        <w:t xml:space="preserve">on </w:t>
      </w:r>
      <w:r w:rsidR="002435F2" w:rsidRPr="0047127A">
        <w:lastRenderedPageBreak/>
        <w:t xml:space="preserve">the ground of </w:t>
      </w:r>
      <w:r w:rsidRPr="0047127A">
        <w:t>improper joinder</w:t>
      </w:r>
      <w:r w:rsidR="00515C6D">
        <w:t xml:space="preserve"> </w:t>
      </w:r>
      <w:r w:rsidR="00796B81" w:rsidRPr="0047127A">
        <w:t>(</w:t>
      </w:r>
      <w:r w:rsidR="00610792" w:rsidRPr="0047127A">
        <w:t>s</w:t>
      </w:r>
      <w:r w:rsidR="00796B81" w:rsidRPr="0047127A">
        <w:t>ee § 1004, para. (3)</w:t>
      </w:r>
      <w:r w:rsidR="00610792" w:rsidRPr="0047127A">
        <w:t>)</w:t>
      </w:r>
      <w:r w:rsidR="00796B81" w:rsidRPr="0047127A">
        <w:t xml:space="preserve">.  </w:t>
      </w:r>
      <w:r w:rsidR="00990A75" w:rsidRPr="0047127A">
        <w:t>In response,</w:t>
      </w:r>
      <w:r w:rsidR="00563E85" w:rsidRPr="0047127A">
        <w:t xml:space="preserve"> </w:t>
      </w:r>
      <w:r w:rsidR="00990A75" w:rsidRPr="0047127A">
        <w:t>conflict counsel</w:t>
      </w:r>
      <w:r w:rsidR="00563E85" w:rsidRPr="0047127A">
        <w:t xml:space="preserve"> </w:t>
      </w:r>
      <w:r w:rsidRPr="0047127A">
        <w:t xml:space="preserve">asked the court </w:t>
      </w:r>
      <w:r w:rsidR="008038A4" w:rsidRPr="0047127A">
        <w:t xml:space="preserve">simply </w:t>
      </w:r>
      <w:r w:rsidR="00A51950" w:rsidRPr="0047127A">
        <w:t xml:space="preserve">to reject </w:t>
      </w:r>
      <w:r w:rsidRPr="0047127A">
        <w:t>the</w:t>
      </w:r>
      <w:r w:rsidR="006F7807" w:rsidRPr="0047127A">
        <w:t xml:space="preserve"> </w:t>
      </w:r>
      <w:r w:rsidRPr="0047127A">
        <w:t>information as filed</w:t>
      </w:r>
      <w:r w:rsidR="005A788D">
        <w:t xml:space="preserve">. </w:t>
      </w:r>
      <w:r w:rsidR="005B3FCC" w:rsidRPr="0047127A">
        <w:t xml:space="preserve"> </w:t>
      </w:r>
      <w:r w:rsidR="005A788D">
        <w:t>B</w:t>
      </w:r>
      <w:r w:rsidR="005B3FCC" w:rsidRPr="0047127A">
        <w:t>ut t</w:t>
      </w:r>
      <w:r w:rsidR="00990A75" w:rsidRPr="0047127A">
        <w:t xml:space="preserve">he court </w:t>
      </w:r>
      <w:r w:rsidRPr="0047127A">
        <w:t xml:space="preserve">denied </w:t>
      </w:r>
      <w:r w:rsidR="00563E85" w:rsidRPr="0047127A">
        <w:t xml:space="preserve">that </w:t>
      </w:r>
      <w:r w:rsidR="00494BC6" w:rsidRPr="0047127A">
        <w:t>request</w:t>
      </w:r>
      <w:r w:rsidRPr="0047127A">
        <w:t>.</w:t>
      </w:r>
    </w:p>
    <w:p w14:paraId="49B76076" w14:textId="3D88381B" w:rsidR="003321F5" w:rsidRPr="0047127A" w:rsidRDefault="003321F5" w:rsidP="0047127A">
      <w:pPr>
        <w:tabs>
          <w:tab w:val="left" w:pos="1440"/>
        </w:tabs>
        <w:ind w:firstLine="720"/>
      </w:pPr>
      <w:r w:rsidRPr="0047127A">
        <w:t xml:space="preserve">The public defender’s office then declared a conflict, and conflict counsel was appointed to represent defendant as to </w:t>
      </w:r>
      <w:r w:rsidR="0028257D" w:rsidRPr="0047127A">
        <w:t>all the charges</w:t>
      </w:r>
      <w:r w:rsidR="005B696C" w:rsidRPr="0047127A">
        <w:t xml:space="preserve"> in the information</w:t>
      </w:r>
      <w:r w:rsidRPr="0047127A">
        <w:t>.</w:t>
      </w:r>
      <w:r w:rsidR="00035578" w:rsidRPr="0047127A">
        <w:t xml:space="preserve">  </w:t>
      </w:r>
      <w:r w:rsidRPr="0047127A">
        <w:t xml:space="preserve">Defendant was arraigned </w:t>
      </w:r>
      <w:r w:rsidR="005A788D">
        <w:t xml:space="preserve">and </w:t>
      </w:r>
      <w:r w:rsidRPr="0047127A">
        <w:t>plead</w:t>
      </w:r>
      <w:r w:rsidR="003C39CD" w:rsidRPr="0047127A">
        <w:t>ed</w:t>
      </w:r>
      <w:r w:rsidRPr="0047127A">
        <w:t xml:space="preserve"> not guilty</w:t>
      </w:r>
      <w:r w:rsidR="005A788D">
        <w:t>.</w:t>
      </w:r>
      <w:r w:rsidRPr="0047127A">
        <w:t xml:space="preserve"> </w:t>
      </w:r>
      <w:r w:rsidR="005A788D">
        <w:t xml:space="preserve"> T</w:t>
      </w:r>
      <w:r w:rsidRPr="0047127A">
        <w:t>he judge set a trial date “[o]n case</w:t>
      </w:r>
      <w:r w:rsidR="00A5196B">
        <w:t> </w:t>
      </w:r>
      <w:r w:rsidR="00CB7D7C">
        <w:t>[</w:t>
      </w:r>
      <w:r w:rsidR="00CB7D7C">
        <w:rPr>
          <w:i/>
          <w:iCs/>
        </w:rPr>
        <w:t>sic</w:t>
      </w:r>
      <w:r w:rsidR="00CB7D7C">
        <w:t>]</w:t>
      </w:r>
      <w:r w:rsidRPr="0047127A">
        <w:t xml:space="preserve"> ending 119 and 499 that are filed together in one information.”</w:t>
      </w:r>
      <w:r w:rsidR="00316345" w:rsidRPr="0047127A">
        <w:rPr>
          <w:rStyle w:val="FootnoteReference"/>
        </w:rPr>
        <w:footnoteReference w:id="7"/>
      </w:r>
    </w:p>
    <w:p w14:paraId="1AFC67CF" w14:textId="77777777" w:rsidR="00E310F1" w:rsidRPr="0047127A" w:rsidRDefault="00977B42" w:rsidP="0047127A">
      <w:pPr>
        <w:pStyle w:val="Heading2"/>
      </w:pPr>
      <w:r w:rsidRPr="0047127A">
        <w:t>C</w:t>
      </w:r>
      <w:r w:rsidR="00E310F1" w:rsidRPr="0047127A">
        <w:t xml:space="preserve">. </w:t>
      </w:r>
      <w:r w:rsidRPr="0047127A">
        <w:t xml:space="preserve">Defendant’s </w:t>
      </w:r>
      <w:r w:rsidR="00E310F1" w:rsidRPr="0047127A">
        <w:t>Section 995 Motion</w:t>
      </w:r>
    </w:p>
    <w:p w14:paraId="60273AFA" w14:textId="177FAE9C" w:rsidR="008E63B2" w:rsidRPr="0047127A" w:rsidRDefault="00162221" w:rsidP="0047127A">
      <w:pPr>
        <w:tabs>
          <w:tab w:val="left" w:pos="1440"/>
        </w:tabs>
        <w:ind w:firstLine="720"/>
      </w:pPr>
      <w:r w:rsidRPr="0047127A">
        <w:t xml:space="preserve">Conflict counsel </w:t>
      </w:r>
      <w:r w:rsidR="00984CFE" w:rsidRPr="0047127A">
        <w:t xml:space="preserve">next </w:t>
      </w:r>
      <w:r w:rsidRPr="0047127A">
        <w:t xml:space="preserve">filed a </w:t>
      </w:r>
      <w:r w:rsidR="00D955AC" w:rsidRPr="0047127A">
        <w:t xml:space="preserve">section 995 </w:t>
      </w:r>
      <w:r w:rsidRPr="0047127A">
        <w:t>motion</w:t>
      </w:r>
      <w:r w:rsidR="007A0D35" w:rsidRPr="0047127A">
        <w:t xml:space="preserve"> </w:t>
      </w:r>
      <w:r w:rsidR="00244951" w:rsidRPr="0047127A">
        <w:t xml:space="preserve">requesting that </w:t>
      </w:r>
      <w:r w:rsidRPr="0047127A">
        <w:t xml:space="preserve">the court set aside the </w:t>
      </w:r>
      <w:r w:rsidR="00A51950" w:rsidRPr="0047127A">
        <w:t>i</w:t>
      </w:r>
      <w:r w:rsidRPr="0047127A">
        <w:t>nformation</w:t>
      </w:r>
      <w:r w:rsidR="00894C65" w:rsidRPr="0047127A">
        <w:t xml:space="preserve"> at least in part</w:t>
      </w:r>
      <w:r w:rsidR="00534DA7" w:rsidRPr="0047127A">
        <w:t>.</w:t>
      </w:r>
      <w:r w:rsidR="00AB1870" w:rsidRPr="0047127A">
        <w:t xml:space="preserve">  </w:t>
      </w:r>
      <w:r w:rsidR="00AC6468" w:rsidRPr="0047127A">
        <w:t>Section 995 requires the arraignment court, upon motion, to set aside an information if</w:t>
      </w:r>
      <w:r w:rsidR="00AB1870" w:rsidRPr="0047127A">
        <w:t xml:space="preserve">, among other things, </w:t>
      </w:r>
      <w:r w:rsidR="00AC6468" w:rsidRPr="0047127A">
        <w:t xml:space="preserve">“the defendant had been </w:t>
      </w:r>
      <w:r w:rsidR="00AC6468" w:rsidRPr="0047127A">
        <w:lastRenderedPageBreak/>
        <w:t>committed without reasonable or probable cause.”  (§ 995, subd. (a)(2)(B)</w:t>
      </w:r>
      <w:r w:rsidR="00AB1870" w:rsidRPr="0047127A">
        <w:t xml:space="preserve">; see </w:t>
      </w:r>
      <w:r w:rsidR="00AB1870" w:rsidRPr="0047127A">
        <w:rPr>
          <w:i/>
          <w:iCs/>
        </w:rPr>
        <w:t>People v. Superior Court (Jurado)</w:t>
      </w:r>
      <w:r w:rsidR="00AB1870" w:rsidRPr="0047127A">
        <w:t xml:space="preserve"> (1992) 4 Cal.App.4th 1217, 1226</w:t>
      </w:r>
      <w:r w:rsidR="00AC6468" w:rsidRPr="0047127A">
        <w:t xml:space="preserve">.)  </w:t>
      </w:r>
      <w:r w:rsidR="00BD3C65" w:rsidRPr="0047127A">
        <w:t xml:space="preserve">Insisting that only the record of one of the preliminary examinations could be </w:t>
      </w:r>
      <w:r w:rsidR="00C90E2E" w:rsidRPr="0047127A">
        <w:t xml:space="preserve">considered in resolving the </w:t>
      </w:r>
      <w:r w:rsidR="00232A39" w:rsidRPr="0047127A">
        <w:t xml:space="preserve">section </w:t>
      </w:r>
      <w:r w:rsidR="00C90E2E" w:rsidRPr="0047127A">
        <w:t>995 motion</w:t>
      </w:r>
      <w:r w:rsidR="00BD3C65" w:rsidRPr="0047127A">
        <w:t xml:space="preserve">, </w:t>
      </w:r>
      <w:r w:rsidR="00025107" w:rsidRPr="0047127A">
        <w:t xml:space="preserve">conflict </w:t>
      </w:r>
      <w:r w:rsidR="00BD3C65" w:rsidRPr="0047127A">
        <w:t xml:space="preserve">counsel argued </w:t>
      </w:r>
      <w:r w:rsidR="00812518" w:rsidRPr="0047127A">
        <w:t xml:space="preserve">that </w:t>
      </w:r>
      <w:r w:rsidR="00BD3C65" w:rsidRPr="0047127A">
        <w:t xml:space="preserve">defendant had been committed without probable cause </w:t>
      </w:r>
      <w:r w:rsidR="00F14B98">
        <w:t>regarding several counts</w:t>
      </w:r>
      <w:r w:rsidR="00AB1870" w:rsidRPr="0047127A">
        <w:t> </w:t>
      </w:r>
      <w:r w:rsidR="00BD3C65" w:rsidRPr="0047127A">
        <w:t>of the combined information</w:t>
      </w:r>
      <w:r w:rsidR="00176231" w:rsidRPr="0047127A">
        <w:t xml:space="preserve">.  Specifically, </w:t>
      </w:r>
      <w:r w:rsidR="00BD24A2" w:rsidRPr="0047127A">
        <w:t xml:space="preserve">counsel argued </w:t>
      </w:r>
      <w:r w:rsidR="00AB1870" w:rsidRPr="0047127A">
        <w:t xml:space="preserve">there </w:t>
      </w:r>
      <w:r w:rsidR="006E4E92" w:rsidRPr="0047127A">
        <w:t xml:space="preserve">was no evidence </w:t>
      </w:r>
      <w:r w:rsidR="00276E11" w:rsidRPr="0047127A">
        <w:t xml:space="preserve">presented </w:t>
      </w:r>
      <w:r w:rsidR="006E4E92" w:rsidRPr="0047127A">
        <w:t xml:space="preserve">at the preliminary </w:t>
      </w:r>
      <w:r w:rsidR="00D33FCA" w:rsidRPr="0047127A">
        <w:t xml:space="preserve">examination </w:t>
      </w:r>
      <w:r w:rsidR="006E4E92" w:rsidRPr="0047127A">
        <w:t xml:space="preserve">in </w:t>
      </w:r>
      <w:r w:rsidR="00232A39" w:rsidRPr="0047127A">
        <w:t xml:space="preserve">magistrate </w:t>
      </w:r>
      <w:r w:rsidR="006E4E92" w:rsidRPr="0047127A">
        <w:t>case 3119 to support counts 1 through 4</w:t>
      </w:r>
      <w:r w:rsidR="00176231" w:rsidRPr="0047127A">
        <w:t xml:space="preserve"> of the </w:t>
      </w:r>
      <w:r w:rsidR="00276E11" w:rsidRPr="0047127A">
        <w:t xml:space="preserve">combined </w:t>
      </w:r>
      <w:r w:rsidR="00176231" w:rsidRPr="0047127A">
        <w:t>information</w:t>
      </w:r>
      <w:r w:rsidR="006E4E92" w:rsidRPr="0047127A">
        <w:t xml:space="preserve">, </w:t>
      </w:r>
      <w:r w:rsidR="00BD3C65" w:rsidRPr="0047127A">
        <w:t>and</w:t>
      </w:r>
      <w:r w:rsidR="006E4E92" w:rsidRPr="0047127A">
        <w:t xml:space="preserve">, in the alternative, there was no evidence </w:t>
      </w:r>
      <w:r w:rsidR="00276E11" w:rsidRPr="0047127A">
        <w:t xml:space="preserve">presented </w:t>
      </w:r>
      <w:r w:rsidR="006E4E92" w:rsidRPr="0047127A">
        <w:t xml:space="preserve">at the preliminary </w:t>
      </w:r>
      <w:r w:rsidR="00D33FCA" w:rsidRPr="0047127A">
        <w:t xml:space="preserve">examination </w:t>
      </w:r>
      <w:r w:rsidR="006E4E92" w:rsidRPr="0047127A">
        <w:t xml:space="preserve">in </w:t>
      </w:r>
      <w:r w:rsidR="00232A39" w:rsidRPr="0047127A">
        <w:t xml:space="preserve">magistrate </w:t>
      </w:r>
      <w:r w:rsidR="006E4E92" w:rsidRPr="0047127A">
        <w:t>case 1499 to support counts 5 through 7</w:t>
      </w:r>
      <w:r w:rsidR="00176231" w:rsidRPr="0047127A">
        <w:t xml:space="preserve"> of th</w:t>
      </w:r>
      <w:r w:rsidR="00276E11" w:rsidRPr="0047127A">
        <w:t>at</w:t>
      </w:r>
      <w:r w:rsidR="00176231" w:rsidRPr="0047127A">
        <w:t xml:space="preserve"> information</w:t>
      </w:r>
      <w:r w:rsidR="006517A3" w:rsidRPr="0047127A">
        <w:t>.</w:t>
      </w:r>
    </w:p>
    <w:p w14:paraId="5C0E6D4C" w14:textId="75C139CA" w:rsidR="001F655F" w:rsidRPr="0047127A" w:rsidRDefault="00FA308C" w:rsidP="0047127A">
      <w:pPr>
        <w:tabs>
          <w:tab w:val="left" w:pos="1440"/>
        </w:tabs>
        <w:ind w:firstLine="720"/>
      </w:pPr>
      <w:r w:rsidRPr="0047127A">
        <w:t xml:space="preserve">Defendant’s section 995 </w:t>
      </w:r>
      <w:r w:rsidR="00162221" w:rsidRPr="0047127A">
        <w:t xml:space="preserve">motion was heard on January 13, 2017.  At the outset of the hearing, the motions judge </w:t>
      </w:r>
      <w:r w:rsidRPr="0047127A">
        <w:t xml:space="preserve">noted that </w:t>
      </w:r>
      <w:r w:rsidR="00162221" w:rsidRPr="0047127A">
        <w:t xml:space="preserve">he had </w:t>
      </w:r>
      <w:r w:rsidR="001C2742" w:rsidRPr="0047127A">
        <w:t xml:space="preserve">before him </w:t>
      </w:r>
      <w:r w:rsidR="00162221" w:rsidRPr="0047127A">
        <w:t xml:space="preserve">two separate case files, one for </w:t>
      </w:r>
      <w:r w:rsidR="00232A39" w:rsidRPr="0047127A">
        <w:t xml:space="preserve">magistrate </w:t>
      </w:r>
      <w:r w:rsidR="00162221" w:rsidRPr="0047127A">
        <w:t xml:space="preserve">case </w:t>
      </w:r>
      <w:r w:rsidR="00A06727" w:rsidRPr="0047127A">
        <w:t>1499</w:t>
      </w:r>
      <w:r w:rsidR="00162221" w:rsidRPr="0047127A">
        <w:t xml:space="preserve"> and the other for </w:t>
      </w:r>
      <w:r w:rsidR="00232A39" w:rsidRPr="0047127A">
        <w:t xml:space="preserve">magistrate </w:t>
      </w:r>
      <w:r w:rsidR="00162221" w:rsidRPr="0047127A">
        <w:t xml:space="preserve">case </w:t>
      </w:r>
      <w:r w:rsidR="00A06727" w:rsidRPr="0047127A">
        <w:t>3119</w:t>
      </w:r>
      <w:r w:rsidR="00162221" w:rsidRPr="0047127A">
        <w:t xml:space="preserve">.  He </w:t>
      </w:r>
      <w:r w:rsidR="001C2742" w:rsidRPr="0047127A">
        <w:t xml:space="preserve">then </w:t>
      </w:r>
      <w:r w:rsidR="00162221" w:rsidRPr="0047127A">
        <w:t xml:space="preserve">asked the prosecutor whether </w:t>
      </w:r>
      <w:r w:rsidR="001F655F" w:rsidRPr="0047127A">
        <w:t xml:space="preserve">there was </w:t>
      </w:r>
      <w:r w:rsidR="00162221" w:rsidRPr="0047127A">
        <w:t xml:space="preserve">any authority for the proposition the People could join </w:t>
      </w:r>
      <w:r w:rsidR="00025107" w:rsidRPr="0047127A">
        <w:t xml:space="preserve">the charges from </w:t>
      </w:r>
      <w:r w:rsidR="00162221" w:rsidRPr="0047127A">
        <w:t xml:space="preserve">two </w:t>
      </w:r>
      <w:r w:rsidR="00B81B02" w:rsidRPr="0047127A">
        <w:t xml:space="preserve">magistrate </w:t>
      </w:r>
      <w:r w:rsidR="00162221" w:rsidRPr="0047127A">
        <w:t>cases</w:t>
      </w:r>
      <w:r w:rsidR="00A06727" w:rsidRPr="0047127A">
        <w:t xml:space="preserve"> in a single information, in effect consolidating the cases </w:t>
      </w:r>
      <w:r w:rsidR="001C2742" w:rsidRPr="0047127A">
        <w:t xml:space="preserve">(and their files) </w:t>
      </w:r>
      <w:r w:rsidR="00162221" w:rsidRPr="0047127A">
        <w:t xml:space="preserve">without </w:t>
      </w:r>
      <w:r w:rsidR="001F655F" w:rsidRPr="0047127A">
        <w:t xml:space="preserve">the court’s </w:t>
      </w:r>
      <w:r w:rsidR="00162221" w:rsidRPr="0047127A">
        <w:t xml:space="preserve">permission.  The judge </w:t>
      </w:r>
      <w:r w:rsidR="00D27388" w:rsidRPr="0047127A">
        <w:t xml:space="preserve">indicated that </w:t>
      </w:r>
      <w:r w:rsidR="0086333F" w:rsidRPr="0047127A">
        <w:t xml:space="preserve">he </w:t>
      </w:r>
      <w:r w:rsidR="00162221" w:rsidRPr="0047127A">
        <w:t xml:space="preserve">did not believe the law permitted a court to treat </w:t>
      </w:r>
      <w:r w:rsidR="00A353C3" w:rsidRPr="0047127A">
        <w:t xml:space="preserve">the </w:t>
      </w:r>
      <w:r w:rsidR="00162221" w:rsidRPr="0047127A">
        <w:t xml:space="preserve">two preliminary hearing transcripts as </w:t>
      </w:r>
      <w:r w:rsidR="001F655F" w:rsidRPr="0047127A">
        <w:t xml:space="preserve">if they were </w:t>
      </w:r>
      <w:r w:rsidR="00162221" w:rsidRPr="0047127A">
        <w:t xml:space="preserve">one, and he </w:t>
      </w:r>
      <w:r w:rsidR="0086333F" w:rsidRPr="0047127A">
        <w:t xml:space="preserve">suggested that </w:t>
      </w:r>
      <w:r w:rsidR="00162221" w:rsidRPr="0047127A">
        <w:t xml:space="preserve">a section 995 motion could be used to </w:t>
      </w:r>
      <w:r w:rsidR="00113112" w:rsidRPr="0047127A">
        <w:t xml:space="preserve">raise </w:t>
      </w:r>
      <w:r w:rsidR="00162221" w:rsidRPr="0047127A">
        <w:t>the issue.</w:t>
      </w:r>
    </w:p>
    <w:p w14:paraId="3083ECB4" w14:textId="4B220FF6" w:rsidR="00B9696D" w:rsidRPr="0047127A" w:rsidRDefault="00162221" w:rsidP="0047127A">
      <w:pPr>
        <w:tabs>
          <w:tab w:val="left" w:pos="1440"/>
        </w:tabs>
        <w:ind w:firstLine="720"/>
      </w:pPr>
      <w:r w:rsidRPr="0047127A">
        <w:t xml:space="preserve">The prosecutor responded that the People did not seek to consolidate two separate </w:t>
      </w:r>
      <w:r w:rsidR="001F655F" w:rsidRPr="0047127A">
        <w:t xml:space="preserve">accusatory pleadings.  Rather, the People’s first </w:t>
      </w:r>
      <w:r w:rsidR="00F37DA1" w:rsidRPr="0047127A">
        <w:t xml:space="preserve">and only </w:t>
      </w:r>
      <w:r w:rsidR="001F655F" w:rsidRPr="0047127A">
        <w:t xml:space="preserve">accusatory pleading in the </w:t>
      </w:r>
      <w:r w:rsidR="00A353C3" w:rsidRPr="0047127A">
        <w:t>s</w:t>
      </w:r>
      <w:r w:rsidR="001F655F" w:rsidRPr="0047127A">
        <w:t xml:space="preserve">uperior </w:t>
      </w:r>
      <w:r w:rsidR="00A353C3" w:rsidRPr="0047127A">
        <w:t>c</w:t>
      </w:r>
      <w:r w:rsidR="001F655F" w:rsidRPr="0047127A">
        <w:t xml:space="preserve">ourt was the information, and </w:t>
      </w:r>
      <w:r w:rsidR="00A353C3" w:rsidRPr="0047127A">
        <w:t>in accordance with section 954</w:t>
      </w:r>
      <w:r w:rsidR="00A068B3" w:rsidRPr="0047127A">
        <w:t>’s joinder clause</w:t>
      </w:r>
      <w:r w:rsidR="00A353C3" w:rsidRPr="0047127A">
        <w:t xml:space="preserve">, </w:t>
      </w:r>
      <w:r w:rsidR="001F655F" w:rsidRPr="0047127A">
        <w:t xml:space="preserve">the People had </w:t>
      </w:r>
      <w:r w:rsidR="009B2C11" w:rsidRPr="0047127A">
        <w:t xml:space="preserve">properly </w:t>
      </w:r>
      <w:r w:rsidR="001F655F" w:rsidRPr="0047127A">
        <w:t>joined</w:t>
      </w:r>
      <w:r w:rsidR="009B2C11" w:rsidRPr="0047127A">
        <w:t xml:space="preserve"> “offenses of the same class” </w:t>
      </w:r>
      <w:r w:rsidR="001F655F" w:rsidRPr="0047127A">
        <w:t xml:space="preserve">in that </w:t>
      </w:r>
      <w:r w:rsidR="006133E5" w:rsidRPr="0047127A">
        <w:t>information</w:t>
      </w:r>
      <w:r w:rsidRPr="0047127A">
        <w:t>.</w:t>
      </w:r>
      <w:r w:rsidR="008E63B2" w:rsidRPr="0047127A">
        <w:t xml:space="preserve">  (See</w:t>
      </w:r>
      <w:r w:rsidR="009B2C11" w:rsidRPr="0047127A">
        <w:t xml:space="preserve"> </w:t>
      </w:r>
      <w:r w:rsidR="008E63B2" w:rsidRPr="0047127A">
        <w:rPr>
          <w:i/>
          <w:iCs/>
        </w:rPr>
        <w:t>People v. Landry</w:t>
      </w:r>
      <w:r w:rsidR="008E63B2" w:rsidRPr="0047127A">
        <w:t xml:space="preserve"> (2016) 2 </w:t>
      </w:r>
      <w:r w:rsidR="008E63B2" w:rsidRPr="0047127A">
        <w:lastRenderedPageBreak/>
        <w:t>Cal.5th 52, 76 [“ ‘Offenses of the same class are offenses which possess common characteristics or attributes.’ ”].)</w:t>
      </w:r>
      <w:r w:rsidR="00E64FEB" w:rsidRPr="0047127A">
        <w:t xml:space="preserve">  </w:t>
      </w:r>
      <w:r w:rsidR="00EB099B" w:rsidRPr="0047127A">
        <w:t>T</w:t>
      </w:r>
      <w:r w:rsidR="00E64FEB" w:rsidRPr="0047127A">
        <w:t xml:space="preserve">he prosecutor </w:t>
      </w:r>
      <w:r w:rsidR="006144C3" w:rsidRPr="0047127A">
        <w:t xml:space="preserve">thus </w:t>
      </w:r>
      <w:r w:rsidR="00E64FEB" w:rsidRPr="0047127A">
        <w:t xml:space="preserve">viewed the </w:t>
      </w:r>
      <w:r w:rsidR="00025107" w:rsidRPr="0047127A">
        <w:t xml:space="preserve">trial </w:t>
      </w:r>
      <w:r w:rsidR="00E64FEB" w:rsidRPr="0047127A">
        <w:t xml:space="preserve">court proceeding as a </w:t>
      </w:r>
      <w:r w:rsidR="00025107" w:rsidRPr="0047127A">
        <w:t xml:space="preserve">completely </w:t>
      </w:r>
      <w:r w:rsidR="00E64FEB" w:rsidRPr="0047127A">
        <w:t>new proceeding, distinct from the earlier magistrate proceedings</w:t>
      </w:r>
      <w:r w:rsidR="003145EB">
        <w:t xml:space="preserve">.  </w:t>
      </w:r>
      <w:r w:rsidR="00515C6D">
        <w:t>Hence</w:t>
      </w:r>
      <w:r w:rsidR="003145EB">
        <w:t>,</w:t>
      </w:r>
      <w:r w:rsidR="008C4E77" w:rsidRPr="0047127A">
        <w:t xml:space="preserve"> </w:t>
      </w:r>
      <w:r w:rsidR="00E64FEB" w:rsidRPr="0047127A">
        <w:t xml:space="preserve">the filing of the information was, in the prosecutor’s view, “the first inception of the proceeding,” bringing section 954’s joinder clause into play.  </w:t>
      </w:r>
      <w:r w:rsidR="0086333F" w:rsidRPr="0047127A">
        <w:t xml:space="preserve">As to the proper procedural vehicle </w:t>
      </w:r>
      <w:r w:rsidR="005252E7" w:rsidRPr="0047127A">
        <w:t>by which defendant could challenge the propriety of the information</w:t>
      </w:r>
      <w:r w:rsidR="0086333F" w:rsidRPr="0047127A">
        <w:t>, t</w:t>
      </w:r>
      <w:r w:rsidR="00A353C3" w:rsidRPr="0047127A">
        <w:t xml:space="preserve">he prosecutor </w:t>
      </w:r>
      <w:r w:rsidRPr="0047127A">
        <w:t>argued th</w:t>
      </w:r>
      <w:r w:rsidR="00F37DA1" w:rsidRPr="0047127A">
        <w:t>at the</w:t>
      </w:r>
      <w:r w:rsidRPr="0047127A">
        <w:t xml:space="preserve"> defense </w:t>
      </w:r>
      <w:r w:rsidR="006133E5" w:rsidRPr="0047127A">
        <w:t xml:space="preserve">could have </w:t>
      </w:r>
      <w:r w:rsidR="005252E7" w:rsidRPr="0047127A">
        <w:t xml:space="preserve">done so </w:t>
      </w:r>
      <w:r w:rsidR="00F37DA1" w:rsidRPr="0047127A">
        <w:t xml:space="preserve">by </w:t>
      </w:r>
      <w:r w:rsidR="009B2C11" w:rsidRPr="0047127A">
        <w:t xml:space="preserve">way </w:t>
      </w:r>
      <w:r w:rsidR="00F37DA1" w:rsidRPr="0047127A">
        <w:t>of demurrer</w:t>
      </w:r>
      <w:r w:rsidR="00A353C3" w:rsidRPr="0047127A">
        <w:t>,</w:t>
      </w:r>
      <w:r w:rsidR="00F37DA1" w:rsidRPr="0047127A">
        <w:t xml:space="preserve"> </w:t>
      </w:r>
      <w:r w:rsidR="00B9696D" w:rsidRPr="0047127A">
        <w:t>asserting an improper joinder under section 954 (see § 1004, para. (3))</w:t>
      </w:r>
      <w:r w:rsidR="00F00EDB" w:rsidRPr="0047127A">
        <w:t xml:space="preserve">, but </w:t>
      </w:r>
      <w:r w:rsidR="0086333F" w:rsidRPr="0047127A">
        <w:t xml:space="preserve">having failed to do so, </w:t>
      </w:r>
      <w:r w:rsidR="009B2C11" w:rsidRPr="0047127A">
        <w:t>the defen</w:t>
      </w:r>
      <w:r w:rsidR="0086333F" w:rsidRPr="0047127A">
        <w:t xml:space="preserve">dant </w:t>
      </w:r>
      <w:r w:rsidRPr="0047127A">
        <w:t xml:space="preserve">could not </w:t>
      </w:r>
      <w:r w:rsidR="007E7787" w:rsidRPr="0047127A">
        <w:t xml:space="preserve">raise a joinder issue </w:t>
      </w:r>
      <w:r w:rsidRPr="0047127A">
        <w:t xml:space="preserve">by </w:t>
      </w:r>
      <w:r w:rsidR="00F37DA1" w:rsidRPr="0047127A">
        <w:t xml:space="preserve">way </w:t>
      </w:r>
      <w:r w:rsidRPr="0047127A">
        <w:t>of a section 995 motion.</w:t>
      </w:r>
    </w:p>
    <w:p w14:paraId="40EA3034" w14:textId="7695CF44" w:rsidR="00162221" w:rsidRPr="0047127A" w:rsidRDefault="00E64FEB" w:rsidP="0047127A">
      <w:pPr>
        <w:tabs>
          <w:tab w:val="left" w:pos="1440"/>
        </w:tabs>
        <w:ind w:firstLine="720"/>
      </w:pPr>
      <w:r w:rsidRPr="0047127A">
        <w:t xml:space="preserve">The motions judge rejected the prosecutor’s arguments.  </w:t>
      </w:r>
      <w:r w:rsidR="00CA2F48" w:rsidRPr="0047127A">
        <w:t>Emphasiz</w:t>
      </w:r>
      <w:r w:rsidRPr="0047127A">
        <w:t xml:space="preserve">ing </w:t>
      </w:r>
      <w:r w:rsidR="00B265A3" w:rsidRPr="0047127A">
        <w:t xml:space="preserve">that </w:t>
      </w:r>
      <w:r w:rsidR="006133E5" w:rsidRPr="0047127A">
        <w:t xml:space="preserve">two </w:t>
      </w:r>
      <w:r w:rsidR="00350F81" w:rsidRPr="0047127A">
        <w:t xml:space="preserve">separate </w:t>
      </w:r>
      <w:r w:rsidR="007E7787" w:rsidRPr="0047127A">
        <w:t xml:space="preserve">magistrate </w:t>
      </w:r>
      <w:r w:rsidR="00B265A3" w:rsidRPr="0047127A">
        <w:t xml:space="preserve">cases </w:t>
      </w:r>
      <w:r w:rsidR="00350F81" w:rsidRPr="0047127A">
        <w:t xml:space="preserve">had been filed </w:t>
      </w:r>
      <w:r w:rsidR="006133E5" w:rsidRPr="0047127A">
        <w:t>against defendant</w:t>
      </w:r>
      <w:r w:rsidRPr="0047127A">
        <w:t>,</w:t>
      </w:r>
      <w:r w:rsidR="00B265A3" w:rsidRPr="0047127A">
        <w:t xml:space="preserve"> </w:t>
      </w:r>
      <w:r w:rsidRPr="0047127A">
        <w:t>the judge s</w:t>
      </w:r>
      <w:r w:rsidR="00BD24A2" w:rsidRPr="0047127A">
        <w:t>tated</w:t>
      </w:r>
      <w:r w:rsidR="005F61D0" w:rsidRPr="0047127A">
        <w:t xml:space="preserve"> </w:t>
      </w:r>
      <w:r w:rsidRPr="0047127A">
        <w:t>that the district attorney could not combine those cases without court approval.</w:t>
      </w:r>
      <w:r w:rsidR="00533188">
        <w:t xml:space="preserve">  </w:t>
      </w:r>
      <w:r w:rsidR="00CC4596" w:rsidRPr="0047127A">
        <w:t xml:space="preserve">The judge then turned to the </w:t>
      </w:r>
      <w:r w:rsidR="000E594A" w:rsidRPr="0047127A">
        <w:t>specific issue raised by defendant</w:t>
      </w:r>
      <w:r w:rsidR="00CA2F48" w:rsidRPr="0047127A">
        <w:t>’s section 995 motion</w:t>
      </w:r>
      <w:r w:rsidR="000E594A" w:rsidRPr="0047127A">
        <w:t xml:space="preserve">, </w:t>
      </w:r>
      <w:r w:rsidR="00884B56" w:rsidRPr="0047127A">
        <w:t xml:space="preserve">to wit, </w:t>
      </w:r>
      <w:r w:rsidR="000E594A" w:rsidRPr="0047127A">
        <w:t xml:space="preserve">the question </w:t>
      </w:r>
      <w:r w:rsidR="00CC4596" w:rsidRPr="0047127A">
        <w:t xml:space="preserve">of probable cause to support </w:t>
      </w:r>
      <w:r w:rsidR="009023CF" w:rsidRPr="0047127A">
        <w:t xml:space="preserve">defendant’s </w:t>
      </w:r>
      <w:r w:rsidR="00CC4596" w:rsidRPr="0047127A">
        <w:t>commitment</w:t>
      </w:r>
      <w:r w:rsidR="009023CF" w:rsidRPr="0047127A">
        <w:t xml:space="preserve"> on the seven counts of the combined information</w:t>
      </w:r>
      <w:r w:rsidR="00CC4596" w:rsidRPr="0047127A">
        <w:t>.  (</w:t>
      </w:r>
      <w:r w:rsidR="00350051" w:rsidRPr="0047127A">
        <w:t xml:space="preserve">See </w:t>
      </w:r>
      <w:r w:rsidR="00CC4596" w:rsidRPr="0047127A">
        <w:t xml:space="preserve">§ 995, subd. (a)(2)(B).)  </w:t>
      </w:r>
      <w:r w:rsidR="00985867" w:rsidRPr="0047127A">
        <w:t xml:space="preserve">Because the two </w:t>
      </w:r>
      <w:r w:rsidR="007E7787" w:rsidRPr="0047127A">
        <w:t xml:space="preserve">magistrate </w:t>
      </w:r>
      <w:r w:rsidR="00985867" w:rsidRPr="0047127A">
        <w:t xml:space="preserve">cases had never been consolidated, </w:t>
      </w:r>
      <w:r w:rsidR="009023CF" w:rsidRPr="0047127A">
        <w:t xml:space="preserve">the court </w:t>
      </w:r>
      <w:r w:rsidR="00BD24A2" w:rsidRPr="0047127A">
        <w:t xml:space="preserve">considered </w:t>
      </w:r>
      <w:r w:rsidR="00985867" w:rsidRPr="0047127A">
        <w:t xml:space="preserve">only the evidence presented at the preliminary hearing in </w:t>
      </w:r>
      <w:r w:rsidR="007E7787" w:rsidRPr="0047127A">
        <w:t xml:space="preserve">magistrate </w:t>
      </w:r>
      <w:r w:rsidR="00985867" w:rsidRPr="0047127A">
        <w:t>case 3119</w:t>
      </w:r>
      <w:r w:rsidR="00792C5C" w:rsidRPr="0047127A">
        <w:t xml:space="preserve">, </w:t>
      </w:r>
      <w:r w:rsidR="00025107" w:rsidRPr="0047127A">
        <w:t xml:space="preserve">which </w:t>
      </w:r>
      <w:r w:rsidR="00834077">
        <w:t xml:space="preserve">the People </w:t>
      </w:r>
      <w:r w:rsidR="00025107" w:rsidRPr="0047127A">
        <w:t xml:space="preserve">had designated </w:t>
      </w:r>
      <w:r w:rsidR="00834077">
        <w:t xml:space="preserve">as </w:t>
      </w:r>
      <w:r w:rsidR="00025107" w:rsidRPr="0047127A">
        <w:t xml:space="preserve">the lead case, </w:t>
      </w:r>
      <w:r w:rsidR="00985867" w:rsidRPr="0047127A">
        <w:t xml:space="preserve">and </w:t>
      </w:r>
      <w:r w:rsidR="00834077">
        <w:t>the court</w:t>
      </w:r>
      <w:r w:rsidR="00985867" w:rsidRPr="0047127A">
        <w:t xml:space="preserve"> </w:t>
      </w:r>
      <w:r w:rsidR="009023CF" w:rsidRPr="0047127A">
        <w:t xml:space="preserve">ignored the evidence presented at the preliminary hearing in </w:t>
      </w:r>
      <w:r w:rsidR="007E7787" w:rsidRPr="0047127A">
        <w:t xml:space="preserve">magistrate </w:t>
      </w:r>
      <w:r w:rsidR="009023CF" w:rsidRPr="0047127A">
        <w:t>case 1499.</w:t>
      </w:r>
      <w:r w:rsidR="00792C5C" w:rsidRPr="0047127A">
        <w:t xml:space="preserve">  </w:t>
      </w:r>
      <w:r w:rsidR="00684DB1" w:rsidRPr="0047127A">
        <w:t>As a result, t</w:t>
      </w:r>
      <w:r w:rsidR="00792C5C" w:rsidRPr="0047127A">
        <w:t xml:space="preserve">he court found </w:t>
      </w:r>
      <w:r w:rsidR="00985867" w:rsidRPr="0047127A">
        <w:t xml:space="preserve">no evidence to support </w:t>
      </w:r>
      <w:r w:rsidR="00162221" w:rsidRPr="0047127A">
        <w:t xml:space="preserve">the charges </w:t>
      </w:r>
      <w:r w:rsidR="00BA02D4" w:rsidRPr="0047127A">
        <w:t xml:space="preserve">alleged in counts 1 through 4 of the </w:t>
      </w:r>
      <w:r w:rsidR="00792C5C" w:rsidRPr="0047127A">
        <w:t xml:space="preserve">combined </w:t>
      </w:r>
      <w:r w:rsidR="00BA02D4" w:rsidRPr="0047127A">
        <w:t>information</w:t>
      </w:r>
      <w:r w:rsidR="00985867" w:rsidRPr="0047127A">
        <w:t xml:space="preserve">, </w:t>
      </w:r>
      <w:r w:rsidR="00792C5C" w:rsidRPr="0047127A">
        <w:t xml:space="preserve">and it </w:t>
      </w:r>
      <w:r w:rsidR="00162221" w:rsidRPr="0047127A">
        <w:t>dismiss</w:t>
      </w:r>
      <w:r w:rsidR="00792C5C" w:rsidRPr="0047127A">
        <w:t xml:space="preserve">ed </w:t>
      </w:r>
      <w:r w:rsidR="00985867" w:rsidRPr="0047127A">
        <w:t xml:space="preserve">those </w:t>
      </w:r>
      <w:r w:rsidR="00D30620" w:rsidRPr="0047127A">
        <w:t>counts</w:t>
      </w:r>
      <w:r w:rsidR="00162221" w:rsidRPr="0047127A">
        <w:t>.</w:t>
      </w:r>
    </w:p>
    <w:p w14:paraId="73481C12" w14:textId="77777777" w:rsidR="00977B42" w:rsidRPr="0047127A" w:rsidRDefault="00977B42" w:rsidP="0047127A">
      <w:pPr>
        <w:pStyle w:val="Heading2"/>
      </w:pPr>
      <w:r w:rsidRPr="00BF7226">
        <w:lastRenderedPageBreak/>
        <w:t>D. Appeal</w:t>
      </w:r>
    </w:p>
    <w:p w14:paraId="3069CEEF" w14:textId="69CB0132" w:rsidR="009065F4" w:rsidRPr="00BF7226" w:rsidRDefault="00162221" w:rsidP="0047127A">
      <w:pPr>
        <w:tabs>
          <w:tab w:val="left" w:pos="1440"/>
        </w:tabs>
        <w:ind w:firstLine="720"/>
      </w:pPr>
      <w:r w:rsidRPr="0047127A">
        <w:t>The People appealed</w:t>
      </w:r>
      <w:r w:rsidR="00BE4639" w:rsidRPr="0047127A">
        <w:t xml:space="preserve"> </w:t>
      </w:r>
      <w:r w:rsidRPr="0047127A">
        <w:t>(</w:t>
      </w:r>
      <w:r w:rsidR="004B604B" w:rsidRPr="0047127A">
        <w:t xml:space="preserve">see </w:t>
      </w:r>
      <w:r w:rsidRPr="0047127A">
        <w:t xml:space="preserve">§ 1238, subd. (a)(1); </w:t>
      </w:r>
      <w:r w:rsidRPr="0047127A">
        <w:rPr>
          <w:i/>
          <w:iCs/>
        </w:rPr>
        <w:t>People v. Alice</w:t>
      </w:r>
      <w:r w:rsidRPr="0047127A">
        <w:t xml:space="preserve"> (2007) 41 Cal.4th 668, 680)</w:t>
      </w:r>
      <w:r w:rsidR="00BE4639" w:rsidRPr="0047127A">
        <w:t xml:space="preserve">, and the Court of Appeal </w:t>
      </w:r>
      <w:r w:rsidR="00350777" w:rsidRPr="0047127A">
        <w:t>revers</w:t>
      </w:r>
      <w:r w:rsidR="00BE4639" w:rsidRPr="0047127A">
        <w:t>ed</w:t>
      </w:r>
      <w:r w:rsidR="00E074D7" w:rsidRPr="0047127A">
        <w:t xml:space="preserve"> in a split decision</w:t>
      </w:r>
      <w:r w:rsidR="009065F4" w:rsidRPr="0047127A">
        <w:t>.</w:t>
      </w:r>
      <w:r w:rsidR="00BF7226">
        <w:t xml:space="preserve">  (</w:t>
      </w:r>
      <w:r w:rsidR="00BF7226">
        <w:rPr>
          <w:i/>
          <w:iCs/>
        </w:rPr>
        <w:t>People v. Henson</w:t>
      </w:r>
      <w:r w:rsidR="00BF7226">
        <w:t xml:space="preserve"> (2018) </w:t>
      </w:r>
      <w:r w:rsidR="00BF7226" w:rsidRPr="0047127A">
        <w:t>28 Cal.App.5th</w:t>
      </w:r>
      <w:r w:rsidR="00BF7226">
        <w:t xml:space="preserve"> 490</w:t>
      </w:r>
      <w:r w:rsidR="00F85985">
        <w:t xml:space="preserve"> (</w:t>
      </w:r>
      <w:r w:rsidR="00F85985">
        <w:rPr>
          <w:i/>
          <w:iCs/>
        </w:rPr>
        <w:t>Henson</w:t>
      </w:r>
      <w:r w:rsidR="00F85985">
        <w:t>)</w:t>
      </w:r>
      <w:r w:rsidR="00BF7226">
        <w:t>.)</w:t>
      </w:r>
    </w:p>
    <w:p w14:paraId="66346BFB" w14:textId="77777777" w:rsidR="009065F4" w:rsidRPr="0047127A" w:rsidRDefault="00836DD8" w:rsidP="0047127A">
      <w:pPr>
        <w:pStyle w:val="Heading3"/>
      </w:pPr>
      <w:r w:rsidRPr="0047127A">
        <w:t xml:space="preserve">1. </w:t>
      </w:r>
      <w:r w:rsidR="009065F4" w:rsidRPr="0047127A">
        <w:t>Court of Appeal</w:t>
      </w:r>
      <w:r w:rsidRPr="0047127A">
        <w:t>’s Majority</w:t>
      </w:r>
      <w:r w:rsidR="009065F4" w:rsidRPr="0047127A">
        <w:t xml:space="preserve"> Opinion</w:t>
      </w:r>
    </w:p>
    <w:p w14:paraId="65CD8DA4" w14:textId="70F45DFF" w:rsidR="001944D7" w:rsidRPr="0047127A" w:rsidRDefault="00512AAA" w:rsidP="0047127A">
      <w:pPr>
        <w:tabs>
          <w:tab w:val="left" w:pos="1440"/>
        </w:tabs>
        <w:ind w:firstLine="720"/>
      </w:pPr>
      <w:r w:rsidRPr="0047127A">
        <w:t>Although t</w:t>
      </w:r>
      <w:r w:rsidR="008D0672" w:rsidRPr="0047127A">
        <w:t xml:space="preserve">he Court of Appeal </w:t>
      </w:r>
      <w:r w:rsidRPr="0047127A">
        <w:t>reversed the trial court’s order of dismissal</w:t>
      </w:r>
      <w:r w:rsidR="007134BB" w:rsidRPr="0047127A">
        <w:t xml:space="preserve">, </w:t>
      </w:r>
      <w:r w:rsidRPr="0047127A">
        <w:t>it</w:t>
      </w:r>
      <w:r w:rsidR="00ED1614" w:rsidRPr="0047127A">
        <w:t xml:space="preserve"> did not adopt the reasoning relied on by </w:t>
      </w:r>
      <w:r w:rsidRPr="0047127A">
        <w:t xml:space="preserve">the </w:t>
      </w:r>
      <w:r w:rsidR="007134BB" w:rsidRPr="0047127A">
        <w:t xml:space="preserve">People </w:t>
      </w:r>
      <w:r w:rsidR="00300018" w:rsidRPr="0047127A">
        <w:t xml:space="preserve">in the trial court and </w:t>
      </w:r>
      <w:r w:rsidRPr="0047127A">
        <w:t xml:space="preserve">on </w:t>
      </w:r>
      <w:r w:rsidR="008D0672" w:rsidRPr="0047127A">
        <w:t>appeal.</w:t>
      </w:r>
      <w:r w:rsidR="008833BB" w:rsidRPr="0047127A">
        <w:t xml:space="preserve">  </w:t>
      </w:r>
      <w:r w:rsidR="00ED1614" w:rsidRPr="0047127A">
        <w:t>Instead,</w:t>
      </w:r>
      <w:r w:rsidR="00C550A2" w:rsidRPr="0047127A">
        <w:t xml:space="preserve"> </w:t>
      </w:r>
      <w:r w:rsidR="00C14077" w:rsidRPr="0047127A">
        <w:t xml:space="preserve">the Court of Appeal relied on section 954’s consolidation clause. </w:t>
      </w:r>
      <w:r w:rsidR="00857664" w:rsidRPr="0047127A">
        <w:t xml:space="preserve"> </w:t>
      </w:r>
      <w:r w:rsidR="00251B13" w:rsidRPr="0047127A">
        <w:t xml:space="preserve">As </w:t>
      </w:r>
      <w:r w:rsidR="003315F3" w:rsidRPr="0047127A">
        <w:t>noted, th</w:t>
      </w:r>
      <w:r w:rsidR="00B71D5C" w:rsidRPr="0047127A">
        <w:t>e consolidation</w:t>
      </w:r>
      <w:r w:rsidR="003315F3" w:rsidRPr="0047127A">
        <w:t xml:space="preserve"> clause </w:t>
      </w:r>
      <w:r w:rsidR="00251B13" w:rsidRPr="0047127A">
        <w:t>states that “</w:t>
      </w:r>
      <w:bookmarkStart w:id="8" w:name="_Hlk106181908"/>
      <w:r w:rsidR="00251B13" w:rsidRPr="0047127A">
        <w:t xml:space="preserve">if two or more accusatory pleadings are filed in </w:t>
      </w:r>
      <w:r w:rsidR="001A0BE3" w:rsidRPr="0047127A">
        <w:t xml:space="preserve">[related] </w:t>
      </w:r>
      <w:r w:rsidR="00251B13" w:rsidRPr="0047127A">
        <w:t xml:space="preserve">cases </w:t>
      </w:r>
      <w:r w:rsidR="00251B13" w:rsidRPr="0047127A">
        <w:rPr>
          <w:i/>
          <w:iCs/>
        </w:rPr>
        <w:t>in the same court</w:t>
      </w:r>
      <w:bookmarkEnd w:id="8"/>
      <w:r w:rsidR="00251B13" w:rsidRPr="0047127A">
        <w:t>, the court may order them to be consolidated.”</w:t>
      </w:r>
      <w:r w:rsidR="00004FEC" w:rsidRPr="0047127A">
        <w:t xml:space="preserve">  (</w:t>
      </w:r>
      <w:r w:rsidR="0004614A">
        <w:t>§ 954, i</w:t>
      </w:r>
      <w:r w:rsidR="00004FEC" w:rsidRPr="0047127A">
        <w:t>talics added.)  Focusing on the italicized phrase, t</w:t>
      </w:r>
      <w:r w:rsidR="000D2149" w:rsidRPr="0047127A">
        <w:t>he Court of Appeal interpreted the</w:t>
      </w:r>
      <w:r w:rsidR="009879F2" w:rsidRPr="0047127A">
        <w:t xml:space="preserve"> </w:t>
      </w:r>
      <w:r w:rsidR="0049296A" w:rsidRPr="0047127A">
        <w:t>clause</w:t>
      </w:r>
      <w:r w:rsidR="00004FEC" w:rsidRPr="0047127A">
        <w:t xml:space="preserve"> </w:t>
      </w:r>
      <w:r w:rsidR="00BA2465" w:rsidRPr="0047127A">
        <w:t xml:space="preserve">as requiring a court order </w:t>
      </w:r>
      <w:r w:rsidR="009879F2" w:rsidRPr="0047127A">
        <w:t xml:space="preserve">only </w:t>
      </w:r>
      <w:r w:rsidR="00BA2465" w:rsidRPr="0047127A">
        <w:t>in th</w:t>
      </w:r>
      <w:r w:rsidR="00686C10" w:rsidRPr="0047127A">
        <w:t>at</w:t>
      </w:r>
      <w:r w:rsidR="00BA2465" w:rsidRPr="0047127A">
        <w:t xml:space="preserve"> specified circumstance</w:t>
      </w:r>
      <w:r w:rsidR="00ED1614" w:rsidRPr="0047127A">
        <w:t>.</w:t>
      </w:r>
      <w:r w:rsidR="00D534B8" w:rsidRPr="0047127A">
        <w:t xml:space="preserve">  </w:t>
      </w:r>
      <w:r w:rsidR="00ED1614" w:rsidRPr="0047127A">
        <w:t xml:space="preserve">Thus, the </w:t>
      </w:r>
      <w:r w:rsidR="00D534B8" w:rsidRPr="0047127A">
        <w:t xml:space="preserve">Court of Appeal </w:t>
      </w:r>
      <w:r w:rsidR="00ED1614" w:rsidRPr="0047127A">
        <w:t xml:space="preserve">interpreted the clause in a manner that supported </w:t>
      </w:r>
      <w:r w:rsidR="00066CC2" w:rsidRPr="0047127A">
        <w:t>th</w:t>
      </w:r>
      <w:r w:rsidR="00F90734" w:rsidRPr="0047127A">
        <w:t xml:space="preserve">e following </w:t>
      </w:r>
      <w:r w:rsidR="00066CC2" w:rsidRPr="0047127A">
        <w:t>negative inference</w:t>
      </w:r>
      <w:r w:rsidR="0049296A" w:rsidRPr="0047127A">
        <w:t>:</w:t>
      </w:r>
      <w:r w:rsidR="00686C10" w:rsidRPr="0047127A">
        <w:t xml:space="preserve">  </w:t>
      </w:r>
      <w:r w:rsidR="00BC5D05" w:rsidRPr="0047127A">
        <w:t>I</w:t>
      </w:r>
      <w:r w:rsidR="00E134A0" w:rsidRPr="0047127A">
        <w:t xml:space="preserve">f two or more accusatory pleadings are filed in related cases </w:t>
      </w:r>
      <w:r w:rsidR="00E134A0" w:rsidRPr="00687E65">
        <w:rPr>
          <w:i/>
          <w:iCs/>
        </w:rPr>
        <w:t xml:space="preserve">but </w:t>
      </w:r>
      <w:r w:rsidR="007C5C4D" w:rsidRPr="00687E65">
        <w:rPr>
          <w:i/>
          <w:iCs/>
        </w:rPr>
        <w:t xml:space="preserve">in </w:t>
      </w:r>
      <w:r w:rsidR="00392E8E" w:rsidRPr="00687E65">
        <w:rPr>
          <w:i/>
          <w:iCs/>
        </w:rPr>
        <w:t xml:space="preserve">some </w:t>
      </w:r>
      <w:r w:rsidR="009D635C">
        <w:rPr>
          <w:i/>
          <w:iCs/>
        </w:rPr>
        <w:t xml:space="preserve">different </w:t>
      </w:r>
      <w:r w:rsidR="00D846E6" w:rsidRPr="00687E65">
        <w:rPr>
          <w:i/>
          <w:iCs/>
        </w:rPr>
        <w:t>court</w:t>
      </w:r>
      <w:r w:rsidR="00EC5F6A">
        <w:rPr>
          <w:i/>
          <w:iCs/>
        </w:rPr>
        <w:t xml:space="preserve"> from the court where the matter is pending</w:t>
      </w:r>
      <w:r w:rsidR="00E134A0" w:rsidRPr="0047127A">
        <w:t xml:space="preserve">, </w:t>
      </w:r>
      <w:r w:rsidR="001944D7" w:rsidRPr="0047127A">
        <w:t xml:space="preserve">a court order is </w:t>
      </w:r>
      <w:r w:rsidR="001944D7" w:rsidRPr="0047127A">
        <w:rPr>
          <w:i/>
          <w:iCs/>
        </w:rPr>
        <w:t>not</w:t>
      </w:r>
      <w:r w:rsidR="001944D7" w:rsidRPr="0047127A">
        <w:t xml:space="preserve"> required</w:t>
      </w:r>
      <w:r w:rsidR="00FA563E" w:rsidRPr="0047127A">
        <w:t xml:space="preserve"> </w:t>
      </w:r>
      <w:r w:rsidR="001944D7" w:rsidRPr="0047127A">
        <w:t>for them to be consolidated</w:t>
      </w:r>
      <w:r w:rsidR="001A52F0" w:rsidRPr="0047127A">
        <w:t>,</w:t>
      </w:r>
      <w:r w:rsidR="00B86873" w:rsidRPr="0047127A">
        <w:t xml:space="preserve"> and the</w:t>
      </w:r>
      <w:r w:rsidR="0047232A" w:rsidRPr="0047127A">
        <w:t xml:space="preserve"> </w:t>
      </w:r>
      <w:r w:rsidR="00B86873" w:rsidRPr="0047127A">
        <w:t xml:space="preserve">district attorney can </w:t>
      </w:r>
      <w:r w:rsidR="00577670" w:rsidRPr="0047127A">
        <w:t xml:space="preserve">consolidate them </w:t>
      </w:r>
      <w:r w:rsidR="000D2149" w:rsidRPr="0047127A">
        <w:t>unilaterally</w:t>
      </w:r>
      <w:r w:rsidR="001944D7" w:rsidRPr="0047127A">
        <w:t>.</w:t>
      </w:r>
      <w:r w:rsidR="008C7903" w:rsidRPr="0047127A">
        <w:t xml:space="preserve">  (</w:t>
      </w:r>
      <w:r w:rsidR="00207EDE" w:rsidRPr="0047127A">
        <w:t xml:space="preserve">See </w:t>
      </w:r>
      <w:r w:rsidR="000D2149" w:rsidRPr="0047127A">
        <w:rPr>
          <w:i/>
          <w:iCs/>
        </w:rPr>
        <w:t>Henson</w:t>
      </w:r>
      <w:r w:rsidR="000D2149" w:rsidRPr="0047127A">
        <w:t xml:space="preserve">, </w:t>
      </w:r>
      <w:r w:rsidR="000D2149" w:rsidRPr="0047127A">
        <w:rPr>
          <w:i/>
          <w:iCs/>
        </w:rPr>
        <w:t>supra</w:t>
      </w:r>
      <w:r w:rsidR="000D2149" w:rsidRPr="0047127A">
        <w:t>, 28 Cal.App.5th at p. 505.)</w:t>
      </w:r>
      <w:r w:rsidR="00686C10" w:rsidRPr="0047127A">
        <w:t xml:space="preserve">  </w:t>
      </w:r>
      <w:r w:rsidR="00D534B8" w:rsidRPr="0047127A">
        <w:t xml:space="preserve">The negative inference </w:t>
      </w:r>
      <w:r w:rsidR="00850FCC" w:rsidRPr="0047127A">
        <w:t xml:space="preserve">that </w:t>
      </w:r>
      <w:r w:rsidR="00D534B8" w:rsidRPr="0047127A">
        <w:t xml:space="preserve">the Court of Appeal drew from the consolidation clause would be more </w:t>
      </w:r>
      <w:r w:rsidR="00785B56" w:rsidRPr="0047127A">
        <w:t>obvious</w:t>
      </w:r>
      <w:r w:rsidR="00D534B8" w:rsidRPr="0047127A">
        <w:t xml:space="preserve"> if the clause provided:  “. . . if two or more accusatory pleadings are filed in [related] cases in the same court, </w:t>
      </w:r>
      <w:r w:rsidR="00785B56" w:rsidRPr="0047127A">
        <w:rPr>
          <w:u w:val="single"/>
        </w:rPr>
        <w:t xml:space="preserve">a court order is </w:t>
      </w:r>
      <w:r w:rsidR="000F6F49">
        <w:rPr>
          <w:u w:val="single"/>
        </w:rPr>
        <w:t>required</w:t>
      </w:r>
      <w:r w:rsidR="00785B56" w:rsidRPr="0047127A">
        <w:rPr>
          <w:u w:val="single"/>
        </w:rPr>
        <w:t xml:space="preserve"> for </w:t>
      </w:r>
      <w:r w:rsidR="00D534B8" w:rsidRPr="0047127A">
        <w:rPr>
          <w:strike/>
        </w:rPr>
        <w:t xml:space="preserve">the court may order </w:t>
      </w:r>
      <w:r w:rsidR="00D534B8" w:rsidRPr="0047127A">
        <w:t>them to be consolidated</w:t>
      </w:r>
      <w:r w:rsidR="00785B56" w:rsidRPr="0047127A">
        <w:t>.</w:t>
      </w:r>
      <w:r w:rsidR="00D534B8" w:rsidRPr="0047127A">
        <w:t>”</w:t>
      </w:r>
      <w:r w:rsidR="00785B56" w:rsidRPr="0047127A">
        <w:t xml:space="preserve">  </w:t>
      </w:r>
      <w:r w:rsidR="00D534B8" w:rsidRPr="0047127A">
        <w:t xml:space="preserve">Phrased that way, the clause </w:t>
      </w:r>
      <w:r w:rsidR="00785B56" w:rsidRPr="0047127A">
        <w:t xml:space="preserve">would suggest </w:t>
      </w:r>
      <w:r w:rsidR="00D534B8" w:rsidRPr="0047127A">
        <w:t xml:space="preserve">that a court order is not otherwise </w:t>
      </w:r>
      <w:r w:rsidR="009D635C">
        <w:t>required</w:t>
      </w:r>
      <w:r w:rsidR="00785B56" w:rsidRPr="0047127A">
        <w:t xml:space="preserve">, and that is </w:t>
      </w:r>
      <w:r w:rsidR="00A80955" w:rsidRPr="0047127A">
        <w:t xml:space="preserve">precisely </w:t>
      </w:r>
      <w:r w:rsidR="00785B56" w:rsidRPr="0047127A">
        <w:t xml:space="preserve">the </w:t>
      </w:r>
      <w:r w:rsidR="008C4E77" w:rsidRPr="0047127A">
        <w:t>way the Court of Appeal construed the clause</w:t>
      </w:r>
      <w:r w:rsidR="00785B56" w:rsidRPr="0047127A">
        <w:t>.</w:t>
      </w:r>
    </w:p>
    <w:p w14:paraId="19BFC836" w14:textId="5553BD74" w:rsidR="007F675D" w:rsidRPr="0047127A" w:rsidRDefault="004C6D59" w:rsidP="0047127A">
      <w:pPr>
        <w:tabs>
          <w:tab w:val="left" w:pos="1440"/>
        </w:tabs>
        <w:ind w:firstLine="720"/>
      </w:pPr>
      <w:r w:rsidRPr="0047127A">
        <w:lastRenderedPageBreak/>
        <w:t>In</w:t>
      </w:r>
      <w:r w:rsidR="009879F2" w:rsidRPr="0047127A">
        <w:t xml:space="preserve"> </w:t>
      </w:r>
      <w:r w:rsidR="00DE4AD1" w:rsidRPr="0047127A">
        <w:t xml:space="preserve">support of </w:t>
      </w:r>
      <w:r w:rsidR="000F2ECD" w:rsidRPr="0047127A">
        <w:t xml:space="preserve">its </w:t>
      </w:r>
      <w:r w:rsidR="00DE4AD1" w:rsidRPr="0047127A">
        <w:t>interpretation</w:t>
      </w:r>
      <w:r w:rsidR="009879F2" w:rsidRPr="0047127A">
        <w:t xml:space="preserve">, </w:t>
      </w:r>
      <w:r w:rsidRPr="0047127A">
        <w:t>t</w:t>
      </w:r>
      <w:r w:rsidR="001A52F0" w:rsidRPr="0047127A">
        <w:t xml:space="preserve">he Court of Appeal </w:t>
      </w:r>
      <w:r w:rsidR="005B3FCC" w:rsidRPr="0047127A">
        <w:t>re</w:t>
      </w:r>
      <w:r w:rsidR="006C723E" w:rsidRPr="0047127A">
        <w:t xml:space="preserve">cognized </w:t>
      </w:r>
      <w:r w:rsidR="005B3FCC" w:rsidRPr="0047127A">
        <w:t xml:space="preserve">that </w:t>
      </w:r>
      <w:r w:rsidR="005A7072" w:rsidRPr="0047127A">
        <w:t xml:space="preserve">it </w:t>
      </w:r>
      <w:r w:rsidR="00E00A1D" w:rsidRPr="0047127A">
        <w:t xml:space="preserve">needed </w:t>
      </w:r>
      <w:r w:rsidR="00CA3406" w:rsidRPr="0047127A">
        <w:t xml:space="preserve">to consider how </w:t>
      </w:r>
      <w:r w:rsidR="009879F2" w:rsidRPr="0047127A">
        <w:t xml:space="preserve">section 954 </w:t>
      </w:r>
      <w:r w:rsidR="00CA3406" w:rsidRPr="0047127A">
        <w:t>operated before court unification</w:t>
      </w:r>
      <w:r w:rsidR="00E4451A" w:rsidRPr="0047127A">
        <w:t>.</w:t>
      </w:r>
      <w:r w:rsidR="005A7072" w:rsidRPr="0047127A">
        <w:rPr>
          <w:rStyle w:val="FootnoteReference"/>
        </w:rPr>
        <w:footnoteReference w:id="8"/>
      </w:r>
      <w:r w:rsidR="00E4451A" w:rsidRPr="0047127A">
        <w:t xml:space="preserve">  </w:t>
      </w:r>
      <w:r w:rsidR="00576DDB">
        <w:t>Prior to</w:t>
      </w:r>
      <w:r w:rsidR="00A97208" w:rsidRPr="0047127A">
        <w:t xml:space="preserve"> unification</w:t>
      </w:r>
      <w:r w:rsidR="00E4451A" w:rsidRPr="0047127A">
        <w:t xml:space="preserve">, </w:t>
      </w:r>
      <w:r w:rsidR="00CA3406" w:rsidRPr="0047127A">
        <w:t xml:space="preserve">the </w:t>
      </w:r>
      <w:r w:rsidR="001A52F0" w:rsidRPr="0047127A">
        <w:t xml:space="preserve">complaint </w:t>
      </w:r>
      <w:r w:rsidR="00CA3406" w:rsidRPr="0047127A">
        <w:t xml:space="preserve">in a felony case </w:t>
      </w:r>
      <w:r w:rsidR="001A52F0" w:rsidRPr="0047127A">
        <w:t xml:space="preserve">was </w:t>
      </w:r>
      <w:r w:rsidR="00DE4AD1" w:rsidRPr="0047127A">
        <w:t xml:space="preserve">filed </w:t>
      </w:r>
      <w:r w:rsidR="00C9222F">
        <w:t>at</w:t>
      </w:r>
      <w:r w:rsidR="00DE4AD1" w:rsidRPr="0047127A">
        <w:t xml:space="preserve"> </w:t>
      </w:r>
      <w:r w:rsidR="001A52F0" w:rsidRPr="0047127A">
        <w:t xml:space="preserve">the municipal court, </w:t>
      </w:r>
      <w:r w:rsidR="00516B2A" w:rsidRPr="0047127A">
        <w:t xml:space="preserve">although </w:t>
      </w:r>
      <w:r w:rsidR="00D8377A" w:rsidRPr="0047127A">
        <w:t xml:space="preserve">technically speaking it was filed with a magistrate, not with the court.  (See </w:t>
      </w:r>
      <w:r w:rsidR="00D8377A" w:rsidRPr="0047127A">
        <w:rPr>
          <w:i/>
          <w:iCs/>
        </w:rPr>
        <w:t>Koski v. James</w:t>
      </w:r>
      <w:r w:rsidR="00D8377A" w:rsidRPr="0047127A">
        <w:t xml:space="preserve"> (1975) 47 Cal.App.3d 349, 354–355.)  After the magistrate held a preliminary examination and issued a </w:t>
      </w:r>
      <w:r w:rsidR="00FE7BEF" w:rsidRPr="0047127A">
        <w:t xml:space="preserve">commitment order, </w:t>
      </w:r>
      <w:r w:rsidR="00FD5302" w:rsidRPr="0047127A">
        <w:t xml:space="preserve">the </w:t>
      </w:r>
      <w:r w:rsidR="00080D5B" w:rsidRPr="0047127A">
        <w:t>district attorney then file</w:t>
      </w:r>
      <w:r w:rsidR="00E9284A" w:rsidRPr="0047127A">
        <w:t>d</w:t>
      </w:r>
      <w:r w:rsidR="00080D5B" w:rsidRPr="0047127A">
        <w:t xml:space="preserve"> an </w:t>
      </w:r>
      <w:r w:rsidR="00DC0C3E" w:rsidRPr="0047127A">
        <w:t>information</w:t>
      </w:r>
      <w:r w:rsidR="0096787C" w:rsidRPr="0047127A">
        <w:t xml:space="preserve"> </w:t>
      </w:r>
      <w:r w:rsidR="00DC0C3E" w:rsidRPr="0047127A">
        <w:t>in the superior court</w:t>
      </w:r>
      <w:r w:rsidR="001A52F0" w:rsidRPr="0047127A">
        <w:t xml:space="preserve">.  </w:t>
      </w:r>
      <w:r w:rsidR="00551428" w:rsidRPr="0047127A">
        <w:t>In t</w:t>
      </w:r>
      <w:r w:rsidR="00BF4E0E" w:rsidRPr="0047127A">
        <w:t>h</w:t>
      </w:r>
      <w:r w:rsidR="00BE5949" w:rsidRPr="0047127A">
        <w:t>e Court of Appeal</w:t>
      </w:r>
      <w:r w:rsidR="00551428" w:rsidRPr="0047127A">
        <w:t xml:space="preserve">’s view, </w:t>
      </w:r>
      <w:r w:rsidR="00BE5949" w:rsidRPr="0047127A">
        <w:t>th</w:t>
      </w:r>
      <w:r w:rsidR="00575DA2" w:rsidRPr="0047127A">
        <w:t>is</w:t>
      </w:r>
      <w:r w:rsidR="00BE5949" w:rsidRPr="0047127A">
        <w:t xml:space="preserve"> </w:t>
      </w:r>
      <w:r w:rsidR="00BF4E0E" w:rsidRPr="0047127A">
        <w:t xml:space="preserve">two-court structure </w:t>
      </w:r>
      <w:r w:rsidR="00DD2929" w:rsidRPr="0047127A">
        <w:t xml:space="preserve">informed the </w:t>
      </w:r>
      <w:r w:rsidR="00BF4E0E" w:rsidRPr="0047127A">
        <w:t xml:space="preserve">meaning </w:t>
      </w:r>
      <w:r w:rsidR="00687BF2" w:rsidRPr="0047127A">
        <w:t>of s</w:t>
      </w:r>
      <w:r w:rsidR="00BF4E0E" w:rsidRPr="0047127A">
        <w:t>ection 954’s use of the phrase “in the same court</w:t>
      </w:r>
      <w:r w:rsidR="00551428" w:rsidRPr="0047127A">
        <w:t>.</w:t>
      </w:r>
      <w:r w:rsidR="00BF4E0E" w:rsidRPr="0047127A">
        <w:t>”</w:t>
      </w:r>
      <w:r w:rsidR="00DD2929" w:rsidRPr="0047127A">
        <w:t xml:space="preserve">  </w:t>
      </w:r>
      <w:r w:rsidR="00516B2A" w:rsidRPr="0047127A">
        <w:t>The Court of Appeal reasoned as follows</w:t>
      </w:r>
      <w:r w:rsidR="003E2144">
        <w:t>:</w:t>
      </w:r>
      <w:r w:rsidR="00516B2A" w:rsidRPr="0047127A">
        <w:t xml:space="preserve">  </w:t>
      </w:r>
      <w:r w:rsidR="00551428" w:rsidRPr="0047127A">
        <w:t>B</w:t>
      </w:r>
      <w:r w:rsidR="0080659D" w:rsidRPr="0047127A">
        <w:t xml:space="preserve">efore court unification, </w:t>
      </w:r>
      <w:r w:rsidR="00D50A9C" w:rsidRPr="0047127A">
        <w:t xml:space="preserve">a court order was required to consolidate two or more </w:t>
      </w:r>
      <w:r w:rsidR="005A7B3E" w:rsidRPr="0047127A">
        <w:t xml:space="preserve">felony </w:t>
      </w:r>
      <w:r w:rsidR="00D50A9C" w:rsidRPr="0047127A">
        <w:t xml:space="preserve">complaints because they were filed “in the same court” (the municipal court), and </w:t>
      </w:r>
      <w:r w:rsidR="003A0F45" w:rsidRPr="0047127A">
        <w:t xml:space="preserve">likewise </w:t>
      </w:r>
      <w:r w:rsidR="00D50A9C" w:rsidRPr="0047127A">
        <w:t>a court order was required to consolidate two or more informations because they</w:t>
      </w:r>
      <w:r w:rsidR="00575DA2" w:rsidRPr="0047127A">
        <w:t>, too,</w:t>
      </w:r>
      <w:r w:rsidR="00D50A9C" w:rsidRPr="0047127A">
        <w:t xml:space="preserve"> were filed “in the same court” (the superior court)</w:t>
      </w:r>
      <w:r w:rsidR="006144C3" w:rsidRPr="0047127A">
        <w:t>, b</w:t>
      </w:r>
      <w:r w:rsidR="00D50A9C" w:rsidRPr="0047127A">
        <w:t xml:space="preserve">ut a court order was not required to allow </w:t>
      </w:r>
      <w:r w:rsidR="00575DA2" w:rsidRPr="0047127A">
        <w:t xml:space="preserve">the district attorney to </w:t>
      </w:r>
      <w:r w:rsidR="00D50A9C" w:rsidRPr="0047127A">
        <w:t>consolidat</w:t>
      </w:r>
      <w:r w:rsidR="00575DA2" w:rsidRPr="0047127A">
        <w:t xml:space="preserve">e </w:t>
      </w:r>
      <w:r w:rsidR="00D50A9C" w:rsidRPr="0047127A">
        <w:t>two or more complaints</w:t>
      </w:r>
      <w:r w:rsidR="0080659D" w:rsidRPr="0047127A">
        <w:t xml:space="preserve"> </w:t>
      </w:r>
      <w:r w:rsidR="00575DA2" w:rsidRPr="0047127A">
        <w:t>in</w:t>
      </w:r>
      <w:r w:rsidR="00516B2A" w:rsidRPr="0047127A">
        <w:t>to</w:t>
      </w:r>
      <w:r w:rsidR="00575DA2" w:rsidRPr="0047127A">
        <w:t xml:space="preserve"> a single information </w:t>
      </w:r>
      <w:r w:rsidR="00D50A9C" w:rsidRPr="0047127A">
        <w:t>because the information and the complaints were not filed “in the same court</w:t>
      </w:r>
      <w:r w:rsidR="0080659D" w:rsidRPr="0047127A">
        <w:t>.</w:t>
      </w:r>
      <w:r w:rsidR="00D50A9C" w:rsidRPr="0047127A">
        <w:t>”</w:t>
      </w:r>
      <w:r w:rsidR="005E676D" w:rsidRPr="0047127A">
        <w:rPr>
          <w:rStyle w:val="FootnoteReference"/>
        </w:rPr>
        <w:footnoteReference w:id="9"/>
      </w:r>
      <w:r w:rsidR="00C973EB" w:rsidRPr="0047127A">
        <w:t xml:space="preserve">  The Court of Appeal</w:t>
      </w:r>
      <w:r w:rsidR="006144C3" w:rsidRPr="0047127A">
        <w:t xml:space="preserve"> </w:t>
      </w:r>
      <w:r w:rsidR="00551428" w:rsidRPr="0047127A">
        <w:t xml:space="preserve">further </w:t>
      </w:r>
      <w:r w:rsidR="006144C3" w:rsidRPr="0047127A">
        <w:lastRenderedPageBreak/>
        <w:t>reason</w:t>
      </w:r>
      <w:r w:rsidR="00C973EB" w:rsidRPr="0047127A">
        <w:t xml:space="preserve">ed that if the same rule </w:t>
      </w:r>
      <w:r w:rsidR="00575DA2" w:rsidRPr="0047127A">
        <w:t xml:space="preserve">continued to </w:t>
      </w:r>
      <w:r w:rsidR="00C973EB" w:rsidRPr="0047127A">
        <w:t>a</w:t>
      </w:r>
      <w:r w:rsidR="00575DA2" w:rsidRPr="0047127A">
        <w:t xml:space="preserve">pply </w:t>
      </w:r>
      <w:r w:rsidR="00C973EB" w:rsidRPr="0047127A">
        <w:t xml:space="preserve">after court unification, then the district attorney in the present case did not need a court order to consolidate the </w:t>
      </w:r>
      <w:r w:rsidR="005A7B3E" w:rsidRPr="0047127A">
        <w:t xml:space="preserve">felony </w:t>
      </w:r>
      <w:r w:rsidR="00C973EB" w:rsidRPr="0047127A">
        <w:t xml:space="preserve">complaints in </w:t>
      </w:r>
      <w:r w:rsidR="00493088">
        <w:t xml:space="preserve">magistrate </w:t>
      </w:r>
      <w:r w:rsidR="00C973EB" w:rsidRPr="0047127A">
        <w:t>cases 1499 and 3119 in</w:t>
      </w:r>
      <w:r w:rsidR="00516B2A" w:rsidRPr="0047127A">
        <w:t>to</w:t>
      </w:r>
      <w:r w:rsidR="00C973EB" w:rsidRPr="0047127A">
        <w:t xml:space="preserve"> a single information.</w:t>
      </w:r>
      <w:r w:rsidR="00551428" w:rsidRPr="0047127A">
        <w:t xml:space="preserve">  (</w:t>
      </w:r>
      <w:r w:rsidR="00516B2A" w:rsidRPr="0047127A">
        <w:t xml:space="preserve">See </w:t>
      </w:r>
      <w:r w:rsidR="00551428" w:rsidRPr="0047127A">
        <w:rPr>
          <w:i/>
          <w:iCs/>
        </w:rPr>
        <w:t>Henson</w:t>
      </w:r>
      <w:r w:rsidR="00551428" w:rsidRPr="0047127A">
        <w:t xml:space="preserve">, </w:t>
      </w:r>
      <w:r w:rsidR="00551428" w:rsidRPr="0047127A">
        <w:rPr>
          <w:i/>
          <w:iCs/>
        </w:rPr>
        <w:t>supra</w:t>
      </w:r>
      <w:r w:rsidR="00551428" w:rsidRPr="0047127A">
        <w:t>, 28 Cal.App.5th at pp. 505–510.)</w:t>
      </w:r>
    </w:p>
    <w:p w14:paraId="120CC294" w14:textId="3EBD7029" w:rsidR="00A03388" w:rsidRPr="0047127A" w:rsidRDefault="00107720" w:rsidP="0047127A">
      <w:pPr>
        <w:tabs>
          <w:tab w:val="left" w:pos="1440"/>
        </w:tabs>
        <w:ind w:firstLine="720"/>
      </w:pPr>
      <w:r w:rsidRPr="0047127A">
        <w:t>Having set up the problem in th</w:t>
      </w:r>
      <w:r w:rsidR="00567C33" w:rsidRPr="0047127A">
        <w:t>os</w:t>
      </w:r>
      <w:r w:rsidR="00107451" w:rsidRPr="0047127A">
        <w:t xml:space="preserve">e </w:t>
      </w:r>
      <w:r w:rsidRPr="0047127A">
        <w:t>terms, the Court of Appeal noted tha</w:t>
      </w:r>
      <w:r w:rsidR="00A56A0B" w:rsidRPr="0047127A">
        <w:t xml:space="preserve">t </w:t>
      </w:r>
      <w:r w:rsidR="00F319AD" w:rsidRPr="0047127A">
        <w:t xml:space="preserve">court </w:t>
      </w:r>
      <w:r w:rsidR="00A56A0B" w:rsidRPr="0047127A">
        <w:t>unification w</w:t>
      </w:r>
      <w:r w:rsidRPr="0047127A">
        <w:t xml:space="preserve">as intended to </w:t>
      </w:r>
      <w:r w:rsidR="002807D4" w:rsidRPr="0047127A">
        <w:t xml:space="preserve">effect an </w:t>
      </w:r>
      <w:r w:rsidRPr="0047127A">
        <w:t xml:space="preserve">administrative </w:t>
      </w:r>
      <w:r w:rsidR="002807D4" w:rsidRPr="0047127A">
        <w:t xml:space="preserve">change in the organization of the </w:t>
      </w:r>
      <w:r w:rsidR="00A56A0B" w:rsidRPr="0047127A">
        <w:t>judiciary</w:t>
      </w:r>
      <w:r w:rsidRPr="0047127A">
        <w:t xml:space="preserve">, </w:t>
      </w:r>
      <w:r w:rsidR="00F319AD" w:rsidRPr="0047127A">
        <w:t xml:space="preserve">not </w:t>
      </w:r>
      <w:r w:rsidR="002807D4" w:rsidRPr="0047127A">
        <w:t xml:space="preserve">a change in </w:t>
      </w:r>
      <w:r w:rsidRPr="0047127A">
        <w:t>criminal procedure</w:t>
      </w:r>
      <w:r w:rsidR="00D50358" w:rsidRPr="0047127A">
        <w:t>.</w:t>
      </w:r>
      <w:r w:rsidR="00F92E53" w:rsidRPr="0047127A">
        <w:t xml:space="preserve">  </w:t>
      </w:r>
      <w:r w:rsidR="003A0F45" w:rsidRPr="0047127A">
        <w:t>Therefore, a</w:t>
      </w:r>
      <w:r w:rsidR="00443AB5" w:rsidRPr="0047127A">
        <w:t>lthough there was</w:t>
      </w:r>
      <w:r w:rsidR="00F319AD" w:rsidRPr="0047127A">
        <w:t>, after court unification,</w:t>
      </w:r>
      <w:r w:rsidR="00443AB5" w:rsidRPr="0047127A">
        <w:t xml:space="preserve"> a single court</w:t>
      </w:r>
      <w:r w:rsidR="00F52CEA" w:rsidRPr="0047127A">
        <w:t xml:space="preserve"> in each county</w:t>
      </w:r>
      <w:r w:rsidR="00443AB5" w:rsidRPr="0047127A">
        <w:t xml:space="preserve">, “ ‘that single court </w:t>
      </w:r>
      <w:r w:rsidR="00F92E53" w:rsidRPr="0047127A">
        <w:t xml:space="preserve">[still] </w:t>
      </w:r>
      <w:r w:rsidR="00443AB5" w:rsidRPr="0047127A">
        <w:t xml:space="preserve">has two divisions corresponding to the former municipal and superior courts.’ ”  </w:t>
      </w:r>
      <w:r w:rsidR="00A53343" w:rsidRPr="0047127A">
        <w:t>(</w:t>
      </w:r>
      <w:r w:rsidR="00A53343" w:rsidRPr="0047127A">
        <w:rPr>
          <w:i/>
          <w:iCs/>
        </w:rPr>
        <w:t>Henson</w:t>
      </w:r>
      <w:r w:rsidR="00A53343" w:rsidRPr="0047127A">
        <w:t xml:space="preserve">, </w:t>
      </w:r>
      <w:r w:rsidR="00A53343" w:rsidRPr="0047127A">
        <w:rPr>
          <w:i/>
          <w:iCs/>
        </w:rPr>
        <w:t>supra</w:t>
      </w:r>
      <w:r w:rsidR="00A53343" w:rsidRPr="0047127A">
        <w:t xml:space="preserve">, 28 Cal.App.5th at p. </w:t>
      </w:r>
      <w:r w:rsidR="00292D39" w:rsidRPr="0047127A">
        <w:t xml:space="preserve">510, </w:t>
      </w:r>
      <w:r w:rsidR="009E6AD2">
        <w:t xml:space="preserve">italics omitted, </w:t>
      </w:r>
      <w:r w:rsidR="00292D39" w:rsidRPr="0047127A">
        <w:t xml:space="preserve">quoting </w:t>
      </w:r>
      <w:r w:rsidR="00292D39" w:rsidRPr="0047127A">
        <w:rPr>
          <w:i/>
          <w:iCs/>
        </w:rPr>
        <w:t>Lempert v. Superior Court</w:t>
      </w:r>
      <w:r w:rsidR="00EC0B9D" w:rsidRPr="0047127A">
        <w:t xml:space="preserve">, </w:t>
      </w:r>
      <w:r w:rsidR="00EC0B9D" w:rsidRPr="0047127A">
        <w:rPr>
          <w:i/>
          <w:iCs/>
        </w:rPr>
        <w:t>supra</w:t>
      </w:r>
      <w:r w:rsidR="00EC0B9D" w:rsidRPr="0047127A">
        <w:t xml:space="preserve">, </w:t>
      </w:r>
      <w:r w:rsidR="00292D39" w:rsidRPr="0047127A">
        <w:t xml:space="preserve">112 Cal.App.4th </w:t>
      </w:r>
      <w:r w:rsidR="00EC0B9D" w:rsidRPr="0047127A">
        <w:t xml:space="preserve">at p. </w:t>
      </w:r>
      <w:r w:rsidR="00292D39" w:rsidRPr="0047127A">
        <w:t>1169</w:t>
      </w:r>
      <w:r w:rsidR="00F319AD" w:rsidRPr="0047127A">
        <w:t>.)</w:t>
      </w:r>
      <w:r w:rsidR="00C70E6B" w:rsidRPr="0047127A">
        <w:t xml:space="preserve">  </w:t>
      </w:r>
      <w:r w:rsidR="00D50358" w:rsidRPr="0047127A">
        <w:t>As such,</w:t>
      </w:r>
      <w:r w:rsidR="00F92E53" w:rsidRPr="0047127A">
        <w:t xml:space="preserve"> </w:t>
      </w:r>
      <w:r w:rsidR="00EE3465" w:rsidRPr="0047127A">
        <w:t xml:space="preserve">the phrase </w:t>
      </w:r>
      <w:r w:rsidRPr="0047127A">
        <w:t xml:space="preserve">“in the same court” </w:t>
      </w:r>
      <w:r w:rsidR="00D50358" w:rsidRPr="0047127A">
        <w:t>continue</w:t>
      </w:r>
      <w:r w:rsidR="003E0697" w:rsidRPr="0047127A">
        <w:t>d</w:t>
      </w:r>
      <w:r w:rsidR="00D50358" w:rsidRPr="0047127A">
        <w:t xml:space="preserve"> to have the </w:t>
      </w:r>
      <w:r w:rsidR="008F4F94" w:rsidRPr="0047127A">
        <w:t xml:space="preserve">same practical </w:t>
      </w:r>
      <w:r w:rsidR="00192B5C" w:rsidRPr="0047127A">
        <w:t xml:space="preserve">meaning </w:t>
      </w:r>
      <w:r w:rsidR="00C70E6B" w:rsidRPr="0047127A">
        <w:t xml:space="preserve">both before and </w:t>
      </w:r>
      <w:r w:rsidR="00742B90" w:rsidRPr="0047127A">
        <w:t xml:space="preserve">after </w:t>
      </w:r>
      <w:r w:rsidR="006915B9" w:rsidRPr="0047127A">
        <w:t>court unification</w:t>
      </w:r>
      <w:r w:rsidR="006E4B83" w:rsidRPr="0047127A">
        <w:t xml:space="preserve">.  </w:t>
      </w:r>
      <w:r w:rsidR="003D147D" w:rsidRPr="0047127A">
        <w:t xml:space="preserve">(See </w:t>
      </w:r>
      <w:r w:rsidR="00F319AD" w:rsidRPr="0047127A">
        <w:rPr>
          <w:i/>
          <w:iCs/>
        </w:rPr>
        <w:t>Henson</w:t>
      </w:r>
      <w:r w:rsidR="00F319AD" w:rsidRPr="0047127A">
        <w:t>, at pp. 507–510.</w:t>
      </w:r>
      <w:r w:rsidR="003D147D" w:rsidRPr="0047127A">
        <w:t>)</w:t>
      </w:r>
      <w:r w:rsidR="00C70E6B" w:rsidRPr="0047127A">
        <w:t xml:space="preserve">  </w:t>
      </w:r>
      <w:r w:rsidR="00D50358" w:rsidRPr="0047127A">
        <w:t xml:space="preserve">In the words of the </w:t>
      </w:r>
      <w:r w:rsidR="00AC2876" w:rsidRPr="0047127A">
        <w:t>Court of Appeal</w:t>
      </w:r>
      <w:r w:rsidR="00655E06" w:rsidRPr="0047127A">
        <w:t xml:space="preserve">, </w:t>
      </w:r>
      <w:r w:rsidR="003D147D" w:rsidRPr="0047127A">
        <w:t>when</w:t>
      </w:r>
      <w:r w:rsidR="00C104DC" w:rsidRPr="0047127A">
        <w:t xml:space="preserve"> </w:t>
      </w:r>
      <w:r w:rsidR="00D83E8C" w:rsidRPr="0047127A">
        <w:t xml:space="preserve">section 954 “refers to two or more accusatory pleadings being filed ‘in the same court,’ it is referring to two or more such pleadings being filed at the stage of proceedings historically conducted in municipal court </w:t>
      </w:r>
      <w:r w:rsidR="00D83E8C" w:rsidRPr="0047127A">
        <w:rPr>
          <w:i/>
          <w:iCs/>
        </w:rPr>
        <w:t>or</w:t>
      </w:r>
      <w:r w:rsidR="00D83E8C" w:rsidRPr="0047127A">
        <w:t xml:space="preserve"> at the stage historically conducted in superior court.  Thus, while court permission is required to consolidate two complaints or two informations, [court permission] is </w:t>
      </w:r>
      <w:r w:rsidR="00D83E8C" w:rsidRPr="0047127A">
        <w:rPr>
          <w:i/>
          <w:iCs/>
        </w:rPr>
        <w:t>not</w:t>
      </w:r>
      <w:r w:rsidR="00D83E8C" w:rsidRPr="0047127A">
        <w:t xml:space="preserve"> required to incorporate two complaints into a single information where that information is the People’s first pleading at the superior court stage of proceedings.”  (</w:t>
      </w:r>
      <w:r w:rsidR="00D83E8C" w:rsidRPr="0047127A">
        <w:rPr>
          <w:i/>
          <w:iCs/>
        </w:rPr>
        <w:t>Henson</w:t>
      </w:r>
      <w:r w:rsidR="00D83E8C" w:rsidRPr="0047127A">
        <w:t>, at p. 510</w:t>
      </w:r>
      <w:r w:rsidR="00085B78">
        <w:t>, fn. omitted</w:t>
      </w:r>
      <w:r w:rsidR="00D83E8C" w:rsidRPr="0047127A">
        <w:t>.)</w:t>
      </w:r>
    </w:p>
    <w:p w14:paraId="79FBA478" w14:textId="30B39506" w:rsidR="00836DD8" w:rsidRPr="0047127A" w:rsidRDefault="00E251C2" w:rsidP="0047127A">
      <w:pPr>
        <w:tabs>
          <w:tab w:val="left" w:pos="1440"/>
        </w:tabs>
        <w:ind w:firstLine="720"/>
      </w:pPr>
      <w:r w:rsidRPr="0047127A">
        <w:t>A</w:t>
      </w:r>
      <w:r w:rsidR="001B2B09" w:rsidRPr="0047127A">
        <w:t xml:space="preserve">pplying </w:t>
      </w:r>
      <w:r w:rsidR="00BC2DCF" w:rsidRPr="0047127A">
        <w:t xml:space="preserve">its </w:t>
      </w:r>
      <w:r w:rsidRPr="0047127A">
        <w:t xml:space="preserve">interpretation </w:t>
      </w:r>
      <w:r w:rsidR="001B2B09" w:rsidRPr="0047127A">
        <w:t>to th</w:t>
      </w:r>
      <w:r w:rsidR="001B725A" w:rsidRPr="0047127A">
        <w:t>e facts of th</w:t>
      </w:r>
      <w:r w:rsidR="001B2B09" w:rsidRPr="0047127A">
        <w:t>is case</w:t>
      </w:r>
      <w:r w:rsidR="00DC4D88" w:rsidRPr="0047127A">
        <w:t xml:space="preserve">, </w:t>
      </w:r>
      <w:r w:rsidR="002477AE" w:rsidRPr="0047127A">
        <w:t xml:space="preserve">the Court of Appeal majority </w:t>
      </w:r>
      <w:r w:rsidR="002A728B" w:rsidRPr="0047127A">
        <w:t xml:space="preserve">concluded </w:t>
      </w:r>
      <w:r w:rsidR="00DC4D88" w:rsidRPr="0047127A">
        <w:t xml:space="preserve">that </w:t>
      </w:r>
      <w:r w:rsidR="00E71C2C" w:rsidRPr="0047127A">
        <w:t>the district attorney</w:t>
      </w:r>
      <w:r w:rsidR="002A728B" w:rsidRPr="0047127A">
        <w:t xml:space="preserve"> </w:t>
      </w:r>
      <w:r w:rsidR="001B2B09" w:rsidRPr="0047127A">
        <w:t xml:space="preserve">acted properly when </w:t>
      </w:r>
      <w:r w:rsidR="00DC4D88" w:rsidRPr="0047127A">
        <w:t>filing a</w:t>
      </w:r>
      <w:r w:rsidR="00076903" w:rsidRPr="0047127A">
        <w:t xml:space="preserve">n </w:t>
      </w:r>
      <w:r w:rsidR="00DC4D88" w:rsidRPr="0047127A">
        <w:t xml:space="preserve">information </w:t>
      </w:r>
      <w:r w:rsidR="00CD77CE" w:rsidRPr="0047127A">
        <w:t>that</w:t>
      </w:r>
      <w:r w:rsidR="001B2B09" w:rsidRPr="0047127A">
        <w:t xml:space="preserve"> effectively </w:t>
      </w:r>
      <w:r w:rsidR="00DC4D88" w:rsidRPr="0047127A">
        <w:t>co</w:t>
      </w:r>
      <w:r w:rsidR="00E26B6A" w:rsidRPr="0047127A">
        <w:t>nsolidat</w:t>
      </w:r>
      <w:r w:rsidR="001B2B09" w:rsidRPr="0047127A">
        <w:t xml:space="preserve">ed </w:t>
      </w:r>
      <w:r w:rsidR="009F3ABD" w:rsidRPr="0047127A">
        <w:t xml:space="preserve">the </w:t>
      </w:r>
      <w:r w:rsidR="00DB59D3" w:rsidRPr="0047127A">
        <w:t xml:space="preserve">complaints </w:t>
      </w:r>
      <w:r w:rsidR="009F3ABD" w:rsidRPr="0047127A">
        <w:t xml:space="preserve">in </w:t>
      </w:r>
      <w:r w:rsidR="003A0F45" w:rsidRPr="0047127A">
        <w:t xml:space="preserve">magistrate </w:t>
      </w:r>
      <w:r w:rsidR="00DC4D88" w:rsidRPr="0047127A">
        <w:t>case</w:t>
      </w:r>
      <w:r w:rsidR="00076903" w:rsidRPr="0047127A">
        <w:t>s</w:t>
      </w:r>
      <w:r w:rsidR="00DC4D88" w:rsidRPr="0047127A">
        <w:t xml:space="preserve"> 1499 and 3119 </w:t>
      </w:r>
      <w:r w:rsidR="00DC4D88" w:rsidRPr="0047127A">
        <w:lastRenderedPageBreak/>
        <w:t xml:space="preserve">into </w:t>
      </w:r>
      <w:r w:rsidR="00076903" w:rsidRPr="0047127A">
        <w:t xml:space="preserve">a single </w:t>
      </w:r>
      <w:r w:rsidR="00DB59D3" w:rsidRPr="0047127A">
        <w:t>combined information</w:t>
      </w:r>
      <w:r w:rsidR="003A0F45" w:rsidRPr="0047127A">
        <w:t xml:space="preserve">.  The Court of Appeal further concluded </w:t>
      </w:r>
      <w:r w:rsidR="004810D3" w:rsidRPr="0047127A">
        <w:t xml:space="preserve">that </w:t>
      </w:r>
      <w:r w:rsidR="00DC4D88" w:rsidRPr="0047127A">
        <w:t xml:space="preserve">the trial court erred </w:t>
      </w:r>
      <w:r w:rsidR="001B2B09" w:rsidRPr="0047127A">
        <w:t xml:space="preserve">by </w:t>
      </w:r>
      <w:r w:rsidR="00DC4D88" w:rsidRPr="0047127A">
        <w:t xml:space="preserve">looking only at the </w:t>
      </w:r>
      <w:r w:rsidR="002477AE" w:rsidRPr="0047127A">
        <w:t xml:space="preserve">record of the </w:t>
      </w:r>
      <w:r w:rsidR="00DC4D88" w:rsidRPr="0047127A">
        <w:t xml:space="preserve">preliminary examination in </w:t>
      </w:r>
      <w:r w:rsidR="00DB59D3" w:rsidRPr="0047127A">
        <w:t xml:space="preserve">magistrate </w:t>
      </w:r>
      <w:r w:rsidR="00DC4D88" w:rsidRPr="0047127A">
        <w:t xml:space="preserve">case 3119 </w:t>
      </w:r>
      <w:r w:rsidR="00B67432">
        <w:t>to</w:t>
      </w:r>
      <w:r w:rsidR="00D22021" w:rsidRPr="0047127A">
        <w:t xml:space="preserve"> f</w:t>
      </w:r>
      <w:r w:rsidR="00DC4D88" w:rsidRPr="0047127A">
        <w:t xml:space="preserve">ind </w:t>
      </w:r>
      <w:r w:rsidR="002477AE" w:rsidRPr="0047127A">
        <w:t xml:space="preserve">no probable cause to support </w:t>
      </w:r>
      <w:r w:rsidR="00DC4D88" w:rsidRPr="0047127A">
        <w:t>counts 1 through 4</w:t>
      </w:r>
      <w:r w:rsidR="001B2B09" w:rsidRPr="0047127A">
        <w:t xml:space="preserve"> of th</w:t>
      </w:r>
      <w:r w:rsidR="00DB59D3" w:rsidRPr="0047127A">
        <w:t>at</w:t>
      </w:r>
      <w:r w:rsidR="001B2B09" w:rsidRPr="0047127A">
        <w:t xml:space="preserve"> combined information</w:t>
      </w:r>
      <w:r w:rsidR="00DC4D88" w:rsidRPr="0047127A">
        <w:t>.</w:t>
      </w:r>
      <w:r w:rsidR="002477AE" w:rsidRPr="0047127A">
        <w:t xml:space="preserve">  </w:t>
      </w:r>
      <w:r w:rsidR="00DC4D88" w:rsidRPr="0047127A">
        <w:t xml:space="preserve">Accordingly, the Court of Appeal reversed the trial court’s </w:t>
      </w:r>
      <w:r w:rsidR="00600F4A" w:rsidRPr="0047127A">
        <w:t xml:space="preserve">order </w:t>
      </w:r>
      <w:r w:rsidR="00DC4D88" w:rsidRPr="0047127A">
        <w:t>of dismissal.</w:t>
      </w:r>
      <w:r w:rsidR="001D49B8" w:rsidRPr="0047127A">
        <w:t xml:space="preserve">  (</w:t>
      </w:r>
      <w:r w:rsidR="001D49B8" w:rsidRPr="0047127A">
        <w:rPr>
          <w:i/>
          <w:iCs/>
        </w:rPr>
        <w:t>Henson</w:t>
      </w:r>
      <w:r w:rsidR="001D49B8" w:rsidRPr="0047127A">
        <w:t xml:space="preserve">, </w:t>
      </w:r>
      <w:r w:rsidR="001D49B8" w:rsidRPr="0047127A">
        <w:rPr>
          <w:i/>
          <w:iCs/>
        </w:rPr>
        <w:t>supra</w:t>
      </w:r>
      <w:r w:rsidR="001D49B8" w:rsidRPr="0047127A">
        <w:t>, 28 Cal.App.5th at pp. 51</w:t>
      </w:r>
      <w:r w:rsidR="00DB758C" w:rsidRPr="0047127A">
        <w:t>3</w:t>
      </w:r>
      <w:r w:rsidR="001D49B8" w:rsidRPr="0047127A">
        <w:t>–</w:t>
      </w:r>
      <w:r w:rsidR="00DB758C" w:rsidRPr="0047127A">
        <w:t>514</w:t>
      </w:r>
      <w:r w:rsidR="001D49B8" w:rsidRPr="0047127A">
        <w:t>.)</w:t>
      </w:r>
    </w:p>
    <w:p w14:paraId="45E178DE" w14:textId="77777777" w:rsidR="00836DD8" w:rsidRPr="0047127A" w:rsidRDefault="00836DD8" w:rsidP="0047127A">
      <w:pPr>
        <w:pStyle w:val="Heading3"/>
      </w:pPr>
      <w:r w:rsidRPr="0047127A">
        <w:t>2. Court of Appeal’s Dissenting Opinion</w:t>
      </w:r>
    </w:p>
    <w:p w14:paraId="75E6BE6D" w14:textId="751FBE0A" w:rsidR="00E41CFA" w:rsidRPr="0047127A" w:rsidRDefault="00DC4D88" w:rsidP="0047127A">
      <w:pPr>
        <w:tabs>
          <w:tab w:val="left" w:pos="1440"/>
        </w:tabs>
        <w:ind w:firstLine="720"/>
      </w:pPr>
      <w:r w:rsidRPr="0047127A">
        <w:t>The dissenting justice</w:t>
      </w:r>
      <w:r w:rsidR="00E41CFA" w:rsidRPr="0047127A">
        <w:t xml:space="preserve"> </w:t>
      </w:r>
      <w:r w:rsidR="00836DD8" w:rsidRPr="0047127A">
        <w:t xml:space="preserve">in the Court of Appeal </w:t>
      </w:r>
      <w:r w:rsidR="006B3BF7" w:rsidRPr="0047127A">
        <w:t>assert</w:t>
      </w:r>
      <w:r w:rsidR="00E75DC7" w:rsidRPr="0047127A">
        <w:t>ed</w:t>
      </w:r>
      <w:r w:rsidR="006B3BF7" w:rsidRPr="0047127A">
        <w:t xml:space="preserve"> t</w:t>
      </w:r>
      <w:r w:rsidR="00E95B1F" w:rsidRPr="0047127A">
        <w:t xml:space="preserve">hat the majority </w:t>
      </w:r>
      <w:r w:rsidR="006B3BF7" w:rsidRPr="0047127A">
        <w:t xml:space="preserve">had </w:t>
      </w:r>
      <w:r w:rsidR="00E95B1F" w:rsidRPr="0047127A">
        <w:t xml:space="preserve">adopted a strained reading of </w:t>
      </w:r>
      <w:r w:rsidR="008263EE" w:rsidRPr="0047127A">
        <w:t xml:space="preserve">section 954’s </w:t>
      </w:r>
      <w:r w:rsidR="00E41CFA" w:rsidRPr="0047127A">
        <w:t xml:space="preserve">consolidation clause </w:t>
      </w:r>
      <w:r w:rsidR="006F4A38" w:rsidRPr="0047127A">
        <w:t xml:space="preserve">in order to </w:t>
      </w:r>
      <w:r w:rsidR="00F05E7A">
        <w:t xml:space="preserve">draw </w:t>
      </w:r>
      <w:r w:rsidR="006F4A38" w:rsidRPr="0047127A">
        <w:t xml:space="preserve">the </w:t>
      </w:r>
      <w:r w:rsidR="009B510C" w:rsidRPr="0047127A">
        <w:t>negative i</w:t>
      </w:r>
      <w:r w:rsidR="006B3BF7" w:rsidRPr="0047127A">
        <w:t xml:space="preserve">nference </w:t>
      </w:r>
      <w:r w:rsidR="006F4A38" w:rsidRPr="0047127A">
        <w:t xml:space="preserve">that supported its conclusion. </w:t>
      </w:r>
      <w:r w:rsidR="0041150F" w:rsidRPr="0047127A">
        <w:t xml:space="preserve"> (</w:t>
      </w:r>
      <w:r w:rsidR="0041150F" w:rsidRPr="0047127A">
        <w:rPr>
          <w:i/>
          <w:iCs/>
        </w:rPr>
        <w:t>Henson</w:t>
      </w:r>
      <w:r w:rsidR="0041150F" w:rsidRPr="0047127A">
        <w:t xml:space="preserve">, </w:t>
      </w:r>
      <w:r w:rsidR="0041150F" w:rsidRPr="0047127A">
        <w:rPr>
          <w:i/>
          <w:iCs/>
        </w:rPr>
        <w:t>supra</w:t>
      </w:r>
      <w:r w:rsidR="0041150F" w:rsidRPr="0047127A">
        <w:t xml:space="preserve">, 28 Cal.App.5th at p. </w:t>
      </w:r>
      <w:r w:rsidR="00297209" w:rsidRPr="0047127A">
        <w:t>524</w:t>
      </w:r>
      <w:r w:rsidR="0041150F" w:rsidRPr="0047127A">
        <w:t xml:space="preserve">, dis. opn. of Smith, J.)  </w:t>
      </w:r>
      <w:r w:rsidR="00E41CFA" w:rsidRPr="0047127A">
        <w:t xml:space="preserve">In the dissent’s view, </w:t>
      </w:r>
      <w:r w:rsidR="00431D67" w:rsidRPr="0047127A">
        <w:t>the</w:t>
      </w:r>
      <w:r w:rsidR="00E40F41" w:rsidRPr="0047127A">
        <w:t xml:space="preserve"> </w:t>
      </w:r>
      <w:r w:rsidR="00E41CFA" w:rsidRPr="0047127A">
        <w:t>consolidation clause</w:t>
      </w:r>
      <w:r w:rsidR="00684A68" w:rsidRPr="0047127A">
        <w:t xml:space="preserve">’s purpose is </w:t>
      </w:r>
      <w:r w:rsidR="00E41CFA" w:rsidRPr="0047127A">
        <w:t xml:space="preserve">merely </w:t>
      </w:r>
      <w:r w:rsidR="00684A68" w:rsidRPr="0047127A">
        <w:t xml:space="preserve">to </w:t>
      </w:r>
      <w:r w:rsidR="00E41CFA" w:rsidRPr="0047127A">
        <w:t>g</w:t>
      </w:r>
      <w:r w:rsidR="00E64D7E" w:rsidRPr="0047127A">
        <w:t xml:space="preserve">ive </w:t>
      </w:r>
      <w:r w:rsidR="00684A68" w:rsidRPr="0047127A">
        <w:t xml:space="preserve">courts </w:t>
      </w:r>
      <w:r w:rsidR="00E7333B" w:rsidRPr="0047127A">
        <w:t>authority</w:t>
      </w:r>
      <w:r w:rsidR="00E41CFA" w:rsidRPr="0047127A">
        <w:t xml:space="preserve"> to consolidate related pleadings</w:t>
      </w:r>
      <w:r w:rsidR="00EF6C7E" w:rsidRPr="0047127A">
        <w:t>; its purpose is</w:t>
      </w:r>
      <w:r w:rsidR="00862C59" w:rsidRPr="0047127A">
        <w:t xml:space="preserve"> </w:t>
      </w:r>
      <w:r w:rsidR="00BC571E" w:rsidRPr="0047127A">
        <w:t xml:space="preserve">not to </w:t>
      </w:r>
      <w:r w:rsidR="00862C59" w:rsidRPr="0047127A">
        <w:t xml:space="preserve">state </w:t>
      </w:r>
      <w:r w:rsidR="00BC571E" w:rsidRPr="0047127A">
        <w:t>the circumstance</w:t>
      </w:r>
      <w:r w:rsidR="00686C10" w:rsidRPr="0047127A">
        <w:t>s</w:t>
      </w:r>
      <w:r w:rsidR="00BC571E" w:rsidRPr="0047127A">
        <w:t xml:space="preserve"> in which a consolidation order </w:t>
      </w:r>
      <w:r w:rsidR="00686C10" w:rsidRPr="0047127A">
        <w:t>i</w:t>
      </w:r>
      <w:r w:rsidR="00BC571E" w:rsidRPr="0047127A">
        <w:t xml:space="preserve">s required, thus implying that in other circumstances </w:t>
      </w:r>
      <w:r w:rsidR="003F0CBD" w:rsidRPr="0047127A">
        <w:t xml:space="preserve">one is not </w:t>
      </w:r>
      <w:r w:rsidR="00684A68" w:rsidRPr="0047127A">
        <w:t xml:space="preserve">required.  </w:t>
      </w:r>
      <w:r w:rsidR="00DA14A4" w:rsidRPr="0047127A">
        <w:t>(</w:t>
      </w:r>
      <w:r w:rsidR="003F0CBD" w:rsidRPr="0047127A">
        <w:rPr>
          <w:i/>
          <w:iCs/>
        </w:rPr>
        <w:t>Id</w:t>
      </w:r>
      <w:r w:rsidR="003F0CBD" w:rsidRPr="0047127A">
        <w:t>.</w:t>
      </w:r>
      <w:r w:rsidR="00DA14A4" w:rsidRPr="0047127A">
        <w:t xml:space="preserve"> at p</w:t>
      </w:r>
      <w:r w:rsidR="006F1A12" w:rsidRPr="0047127A">
        <w:t>p</w:t>
      </w:r>
      <w:r w:rsidR="00DA14A4" w:rsidRPr="0047127A">
        <w:t xml:space="preserve">. 524, </w:t>
      </w:r>
      <w:r w:rsidR="006F1A12" w:rsidRPr="0047127A">
        <w:t xml:space="preserve">528–529, </w:t>
      </w:r>
      <w:r w:rsidR="00DA14A4" w:rsidRPr="0047127A">
        <w:t xml:space="preserve">dis. opn. of Smith, J.)  </w:t>
      </w:r>
      <w:r w:rsidR="009B510C" w:rsidRPr="0047127A">
        <w:t xml:space="preserve">The dissent </w:t>
      </w:r>
      <w:r w:rsidR="00E41CFA" w:rsidRPr="0047127A">
        <w:t>also</w:t>
      </w:r>
      <w:r w:rsidR="00EC7056" w:rsidRPr="0047127A">
        <w:t xml:space="preserve"> </w:t>
      </w:r>
      <w:r w:rsidR="00EB5588" w:rsidRPr="0047127A">
        <w:t xml:space="preserve">pointed out that </w:t>
      </w:r>
      <w:r w:rsidR="009B510C" w:rsidRPr="0047127A">
        <w:t>the majority</w:t>
      </w:r>
      <w:r w:rsidR="001A13BC" w:rsidRPr="0047127A">
        <w:t xml:space="preserve">’s interpretation </w:t>
      </w:r>
      <w:r w:rsidR="00E41CFA" w:rsidRPr="0047127A">
        <w:t xml:space="preserve">had not </w:t>
      </w:r>
      <w:r w:rsidR="00F8704C" w:rsidRPr="0047127A">
        <w:t xml:space="preserve">been </w:t>
      </w:r>
      <w:r w:rsidR="009B510C" w:rsidRPr="0047127A">
        <w:t>advocate</w:t>
      </w:r>
      <w:r w:rsidR="00E41CFA" w:rsidRPr="0047127A">
        <w:t xml:space="preserve">d </w:t>
      </w:r>
      <w:r w:rsidR="00E40F41" w:rsidRPr="0047127A">
        <w:t xml:space="preserve">in the trial court </w:t>
      </w:r>
      <w:r w:rsidR="00E41CFA" w:rsidRPr="0047127A">
        <w:t xml:space="preserve">on behalf of the People.  </w:t>
      </w:r>
      <w:r w:rsidR="00DA14A4" w:rsidRPr="0047127A">
        <w:t>(</w:t>
      </w:r>
      <w:r w:rsidR="00DA14A4" w:rsidRPr="0047127A">
        <w:rPr>
          <w:i/>
          <w:iCs/>
        </w:rPr>
        <w:t>Id</w:t>
      </w:r>
      <w:r w:rsidR="00DA14A4" w:rsidRPr="0047127A">
        <w:t>. at pp. 522–523</w:t>
      </w:r>
      <w:r w:rsidR="006F1A12" w:rsidRPr="0047127A">
        <w:t>, 530</w:t>
      </w:r>
      <w:r w:rsidR="00DA14A4" w:rsidRPr="0047127A">
        <w:t xml:space="preserve">, dis. opn. of Smith, J.)  </w:t>
      </w:r>
      <w:r w:rsidR="006B3BF7" w:rsidRPr="0047127A">
        <w:t>Rather, t</w:t>
      </w:r>
      <w:r w:rsidR="009B510C" w:rsidRPr="0047127A">
        <w:t>he</w:t>
      </w:r>
      <w:r w:rsidR="001A13BC" w:rsidRPr="0047127A">
        <w:t xml:space="preserve"> </w:t>
      </w:r>
      <w:r w:rsidR="003F0CBD" w:rsidRPr="0047127A">
        <w:t xml:space="preserve">prosecutor </w:t>
      </w:r>
      <w:r w:rsidR="00F26C46" w:rsidRPr="0047127A">
        <w:t xml:space="preserve">had </w:t>
      </w:r>
      <w:r w:rsidR="00E41CFA" w:rsidRPr="0047127A">
        <w:t xml:space="preserve">relied solely on section 954’s joinder clause, </w:t>
      </w:r>
      <w:r w:rsidR="009A5BA0">
        <w:t xml:space="preserve">arguing </w:t>
      </w:r>
      <w:r w:rsidR="0096769C" w:rsidRPr="0047127A">
        <w:t>that</w:t>
      </w:r>
      <w:r w:rsidR="004E386F" w:rsidRPr="0047127A">
        <w:t xml:space="preserve"> </w:t>
      </w:r>
      <w:r w:rsidR="009B510C" w:rsidRPr="0047127A">
        <w:t xml:space="preserve">the information could join </w:t>
      </w:r>
      <w:r w:rsidR="008A0B94" w:rsidRPr="0047127A">
        <w:t xml:space="preserve">appropriately </w:t>
      </w:r>
      <w:r w:rsidR="009B510C" w:rsidRPr="0047127A">
        <w:t xml:space="preserve">related offenses without </w:t>
      </w:r>
      <w:r w:rsidR="006B3BF7" w:rsidRPr="0047127A">
        <w:t xml:space="preserve">need for </w:t>
      </w:r>
      <w:r w:rsidR="009B510C" w:rsidRPr="0047127A">
        <w:t xml:space="preserve">a court order.  </w:t>
      </w:r>
      <w:r w:rsidR="00DA14A4" w:rsidRPr="0047127A">
        <w:t>(</w:t>
      </w:r>
      <w:r w:rsidR="00DA14A4" w:rsidRPr="0047127A">
        <w:rPr>
          <w:i/>
          <w:iCs/>
        </w:rPr>
        <w:t>Henson</w:t>
      </w:r>
      <w:r w:rsidR="00DA14A4" w:rsidRPr="0047127A">
        <w:t xml:space="preserve">, at pp. 522–523, </w:t>
      </w:r>
      <w:r w:rsidR="003E1308" w:rsidRPr="0047127A">
        <w:t xml:space="preserve">530, </w:t>
      </w:r>
      <w:r w:rsidR="00DA14A4" w:rsidRPr="0047127A">
        <w:t>dis. opn. of Smith, J.)</w:t>
      </w:r>
      <w:r w:rsidR="004E386F" w:rsidRPr="0047127A">
        <w:t xml:space="preserve">  </w:t>
      </w:r>
      <w:r w:rsidR="00C31A2B" w:rsidRPr="0047127A">
        <w:t>In rejecting th</w:t>
      </w:r>
      <w:r w:rsidR="000B4D8C" w:rsidRPr="0047127A">
        <w:t xml:space="preserve">e latter </w:t>
      </w:r>
      <w:r w:rsidR="00C31A2B" w:rsidRPr="0047127A">
        <w:t>argument, t</w:t>
      </w:r>
      <w:r w:rsidR="00E41CFA" w:rsidRPr="0047127A">
        <w:t xml:space="preserve">he dissent </w:t>
      </w:r>
      <w:r w:rsidR="00F05E7A">
        <w:t xml:space="preserve">employed </w:t>
      </w:r>
      <w:r w:rsidR="0096769C" w:rsidRPr="0047127A">
        <w:t>a policy rationale</w:t>
      </w:r>
      <w:r w:rsidR="00C31A2B" w:rsidRPr="0047127A">
        <w:t xml:space="preserve">, </w:t>
      </w:r>
      <w:r w:rsidR="0096769C" w:rsidRPr="0047127A">
        <w:t>noting that</w:t>
      </w:r>
      <w:r w:rsidR="00C31A2B" w:rsidRPr="0047127A">
        <w:t xml:space="preserve"> </w:t>
      </w:r>
      <w:r w:rsidR="00E41CFA" w:rsidRPr="0047127A">
        <w:t xml:space="preserve">the </w:t>
      </w:r>
      <w:r w:rsidR="00067696" w:rsidRPr="0047127A">
        <w:t xml:space="preserve">unilateral </w:t>
      </w:r>
      <w:r w:rsidR="009B510C" w:rsidRPr="0047127A">
        <w:t xml:space="preserve">joinder of offenses that </w:t>
      </w:r>
      <w:r w:rsidR="00E40F41" w:rsidRPr="0047127A">
        <w:t xml:space="preserve">had been </w:t>
      </w:r>
      <w:r w:rsidR="009B510C" w:rsidRPr="0047127A">
        <w:t>the subject of different preliminary examinations would lead to</w:t>
      </w:r>
      <w:r w:rsidR="0015128E" w:rsidRPr="0047127A">
        <w:t xml:space="preserve"> </w:t>
      </w:r>
      <w:r w:rsidR="003F0CBD" w:rsidRPr="0047127A">
        <w:t xml:space="preserve">unacceptable levels of </w:t>
      </w:r>
      <w:r w:rsidR="009B510C" w:rsidRPr="0047127A">
        <w:t>confusion because the evidence support</w:t>
      </w:r>
      <w:r w:rsidR="00E41CFA" w:rsidRPr="0047127A">
        <w:t xml:space="preserve">ing </w:t>
      </w:r>
      <w:r w:rsidR="009B510C" w:rsidRPr="0047127A">
        <w:t xml:space="preserve">the information would </w:t>
      </w:r>
      <w:r w:rsidR="006B3BF7" w:rsidRPr="0047127A">
        <w:t xml:space="preserve">necessarily </w:t>
      </w:r>
      <w:r w:rsidR="009B510C" w:rsidRPr="0047127A">
        <w:t xml:space="preserve">be </w:t>
      </w:r>
      <w:r w:rsidR="00E40F41" w:rsidRPr="0047127A">
        <w:t xml:space="preserve">located </w:t>
      </w:r>
      <w:r w:rsidR="009B510C" w:rsidRPr="0047127A">
        <w:t>in different case files.</w:t>
      </w:r>
      <w:r w:rsidR="00C31A2B" w:rsidRPr="0047127A">
        <w:t xml:space="preserve">  </w:t>
      </w:r>
      <w:r w:rsidR="00DA14A4" w:rsidRPr="0047127A">
        <w:t>(</w:t>
      </w:r>
      <w:r w:rsidR="00C31A2B" w:rsidRPr="0047127A">
        <w:rPr>
          <w:i/>
          <w:iCs/>
        </w:rPr>
        <w:t>Id</w:t>
      </w:r>
      <w:r w:rsidR="00C31A2B" w:rsidRPr="0047127A">
        <w:t>. at p</w:t>
      </w:r>
      <w:r w:rsidR="00B74E3E" w:rsidRPr="0047127A">
        <w:t>p</w:t>
      </w:r>
      <w:r w:rsidR="00C31A2B" w:rsidRPr="0047127A">
        <w:t>. 523, 530, 532–534, dis. opn. of Smith, J.</w:t>
      </w:r>
      <w:r w:rsidR="00DA14A4" w:rsidRPr="0047127A">
        <w:t>)</w:t>
      </w:r>
    </w:p>
    <w:p w14:paraId="30245D60" w14:textId="132F186D" w:rsidR="00067696" w:rsidRPr="0047127A" w:rsidRDefault="00EA5614" w:rsidP="0047127A">
      <w:pPr>
        <w:tabs>
          <w:tab w:val="left" w:pos="1440"/>
        </w:tabs>
        <w:ind w:firstLine="720"/>
      </w:pPr>
      <w:r w:rsidRPr="0047127A">
        <w:lastRenderedPageBreak/>
        <w:t>T</w:t>
      </w:r>
      <w:r w:rsidR="009B510C" w:rsidRPr="0047127A">
        <w:t xml:space="preserve">he dissent </w:t>
      </w:r>
      <w:r w:rsidRPr="0047127A">
        <w:t xml:space="preserve">also </w:t>
      </w:r>
      <w:r w:rsidR="00E41CFA" w:rsidRPr="0047127A">
        <w:t xml:space="preserve">relied on section 739, which provides:  </w:t>
      </w:r>
      <w:r w:rsidR="007B0469" w:rsidRPr="0047127A">
        <w:t>“</w:t>
      </w:r>
      <w:r w:rsidR="009A1484">
        <w:t> ‘</w:t>
      </w:r>
      <w:r w:rsidR="007B0469" w:rsidRPr="0047127A">
        <w:t xml:space="preserve">When a defendant has been examined and committed . . .  it shall be the duty of the district attorney . . . to file in the superior court . . . an information against the defendant which may charge the defendant with either the offense or offenses named in </w:t>
      </w:r>
      <w:r w:rsidR="007B0469" w:rsidRPr="0047127A">
        <w:rPr>
          <w:i/>
          <w:iCs/>
        </w:rPr>
        <w:t>the</w:t>
      </w:r>
      <w:r w:rsidR="007B0469" w:rsidRPr="0047127A">
        <w:t xml:space="preserve"> order of commitment or any offense or offenses shown by </w:t>
      </w:r>
      <w:r w:rsidR="007B0469" w:rsidRPr="0047127A">
        <w:rPr>
          <w:i/>
          <w:iCs/>
        </w:rPr>
        <w:t>the</w:t>
      </w:r>
      <w:r w:rsidR="007B0469" w:rsidRPr="0047127A">
        <w:t xml:space="preserve"> evidence taken before </w:t>
      </w:r>
      <w:r w:rsidR="007B0469" w:rsidRPr="0047127A">
        <w:rPr>
          <w:i/>
          <w:iCs/>
        </w:rPr>
        <w:t>the</w:t>
      </w:r>
      <w:r w:rsidR="007B0469" w:rsidRPr="0047127A">
        <w:t xml:space="preserve"> magistrate to have been committed.</w:t>
      </w:r>
      <w:r w:rsidR="009A1484">
        <w:t>’ </w:t>
      </w:r>
      <w:r w:rsidR="007B0469" w:rsidRPr="0047127A">
        <w:t xml:space="preserve">”  </w:t>
      </w:r>
      <w:r w:rsidR="005436A5" w:rsidRPr="0047127A">
        <w:t>(</w:t>
      </w:r>
      <w:r w:rsidR="005436A5" w:rsidRPr="0047127A">
        <w:rPr>
          <w:i/>
          <w:iCs/>
        </w:rPr>
        <w:t>Henson</w:t>
      </w:r>
      <w:r w:rsidR="005436A5" w:rsidRPr="0047127A">
        <w:t xml:space="preserve">, </w:t>
      </w:r>
      <w:r w:rsidR="005436A5" w:rsidRPr="0047127A">
        <w:rPr>
          <w:i/>
          <w:iCs/>
        </w:rPr>
        <w:t>supra</w:t>
      </w:r>
      <w:r w:rsidR="005436A5" w:rsidRPr="0047127A">
        <w:t>, 28 Cal.App.5th at p. 5</w:t>
      </w:r>
      <w:r w:rsidR="005436A5">
        <w:t>19</w:t>
      </w:r>
      <w:r w:rsidR="005436A5" w:rsidRPr="0047127A">
        <w:t>, dis. opn. of Smith, J.</w:t>
      </w:r>
      <w:r w:rsidR="005436A5">
        <w:t xml:space="preserve">, </w:t>
      </w:r>
      <w:r w:rsidR="00C75A7B">
        <w:t xml:space="preserve">some </w:t>
      </w:r>
      <w:r w:rsidR="005436A5">
        <w:t>italics</w:t>
      </w:r>
      <w:r w:rsidR="00C75A7B">
        <w:t xml:space="preserve"> omitted.)</w:t>
      </w:r>
      <w:r w:rsidR="007B0469" w:rsidRPr="0047127A">
        <w:t xml:space="preserve">  </w:t>
      </w:r>
      <w:r w:rsidR="00E41CFA" w:rsidRPr="0047127A">
        <w:t xml:space="preserve">In the dissent’s view, the </w:t>
      </w:r>
      <w:r w:rsidR="000C3A22" w:rsidRPr="0047127A">
        <w:t xml:space="preserve">references </w:t>
      </w:r>
      <w:r w:rsidR="006B3BF7" w:rsidRPr="0047127A">
        <w:t xml:space="preserve">in section 739 </w:t>
      </w:r>
      <w:r w:rsidR="000C3A22" w:rsidRPr="0047127A">
        <w:t xml:space="preserve">to </w:t>
      </w:r>
      <w:r w:rsidR="007B0469" w:rsidRPr="0047127A">
        <w:t>“</w:t>
      </w:r>
      <w:r w:rsidR="007B0469" w:rsidRPr="0047127A">
        <w:rPr>
          <w:i/>
          <w:iCs/>
        </w:rPr>
        <w:t>the</w:t>
      </w:r>
      <w:r w:rsidR="007B0469" w:rsidRPr="0047127A">
        <w:t xml:space="preserve"> order of commitment,” “</w:t>
      </w:r>
      <w:r w:rsidR="007B0469" w:rsidRPr="0047127A">
        <w:rPr>
          <w:i/>
          <w:iCs/>
        </w:rPr>
        <w:t>the</w:t>
      </w:r>
      <w:r w:rsidR="007B0469" w:rsidRPr="0047127A">
        <w:t xml:space="preserve"> evidence,” and “</w:t>
      </w:r>
      <w:r w:rsidR="007B0469" w:rsidRPr="0047127A">
        <w:rPr>
          <w:i/>
          <w:iCs/>
        </w:rPr>
        <w:t>the</w:t>
      </w:r>
      <w:r w:rsidR="007B0469" w:rsidRPr="0047127A">
        <w:t xml:space="preserve"> magistrate” </w:t>
      </w:r>
      <w:r w:rsidR="000C3A22" w:rsidRPr="0047127A">
        <w:t>(</w:t>
      </w:r>
      <w:r w:rsidR="002E52A8">
        <w:t>§ 739, </w:t>
      </w:r>
      <w:r w:rsidR="000C3A22" w:rsidRPr="0047127A">
        <w:t xml:space="preserve">italics added) </w:t>
      </w:r>
      <w:r w:rsidR="00E41CFA" w:rsidRPr="0047127A">
        <w:t>implied that each information had to be supported by a single magistrate proceeding</w:t>
      </w:r>
      <w:r w:rsidR="00067696" w:rsidRPr="0047127A">
        <w:t>.</w:t>
      </w:r>
      <w:r w:rsidR="007B0469" w:rsidRPr="0047127A">
        <w:t xml:space="preserve">  (</w:t>
      </w:r>
      <w:r w:rsidR="00002F8E">
        <w:t xml:space="preserve">See </w:t>
      </w:r>
      <w:r w:rsidR="007B0469" w:rsidRPr="0047127A">
        <w:rPr>
          <w:i/>
          <w:iCs/>
        </w:rPr>
        <w:t>Henson</w:t>
      </w:r>
      <w:r w:rsidR="007B0469" w:rsidRPr="0047127A">
        <w:t>,</w:t>
      </w:r>
      <w:r w:rsidR="00002F8E">
        <w:t xml:space="preserve"> </w:t>
      </w:r>
      <w:r w:rsidR="007B0469" w:rsidRPr="0047127A">
        <w:t>at p</w:t>
      </w:r>
      <w:r w:rsidR="00DB5D9F" w:rsidRPr="0047127A">
        <w:t>p</w:t>
      </w:r>
      <w:r w:rsidR="007B0469" w:rsidRPr="0047127A">
        <w:t>. 5</w:t>
      </w:r>
      <w:r w:rsidR="008E7B50" w:rsidRPr="0047127A">
        <w:t>24</w:t>
      </w:r>
      <w:r w:rsidR="00DB5D9F" w:rsidRPr="0047127A">
        <w:t>–5</w:t>
      </w:r>
      <w:r w:rsidR="008E7B50" w:rsidRPr="0047127A">
        <w:t>27</w:t>
      </w:r>
      <w:r w:rsidR="007B0469" w:rsidRPr="0047127A">
        <w:t>, dis. opn. of Smith, J</w:t>
      </w:r>
      <w:r w:rsidR="00D815CC">
        <w:t>.</w:t>
      </w:r>
      <w:r w:rsidR="007B0469" w:rsidRPr="0047127A">
        <w:t>)</w:t>
      </w:r>
    </w:p>
    <w:p w14:paraId="7E1EF66D" w14:textId="0F9C8648" w:rsidR="00D07F10" w:rsidRPr="0047127A" w:rsidRDefault="00E00F1C" w:rsidP="0047127A">
      <w:pPr>
        <w:pStyle w:val="Heading1"/>
      </w:pPr>
      <w:r w:rsidRPr="0047127A">
        <w:t xml:space="preserve">II. </w:t>
      </w:r>
      <w:r w:rsidR="00D07F10" w:rsidRPr="0047127A">
        <w:t>Discussion</w:t>
      </w:r>
    </w:p>
    <w:p w14:paraId="26EEEC0E" w14:textId="3D99F332" w:rsidR="003E3541" w:rsidRPr="0047127A" w:rsidRDefault="003E3541" w:rsidP="0047127A">
      <w:pPr>
        <w:tabs>
          <w:tab w:val="left" w:pos="1440"/>
        </w:tabs>
        <w:ind w:firstLine="720"/>
      </w:pPr>
      <w:r w:rsidRPr="0047127A">
        <w:t xml:space="preserve">In part II.A., we discuss in general terms the nature and role of magistrate proceedings.  </w:t>
      </w:r>
      <w:r w:rsidR="00F05E7A">
        <w:t>I</w:t>
      </w:r>
      <w:r w:rsidRPr="0047127A">
        <w:t>n part II.B., we turn to section 954 and consider whether the joint information filed in this case was appropriate</w:t>
      </w:r>
      <w:r w:rsidR="00D24AA3" w:rsidRPr="0047127A">
        <w:t xml:space="preserve"> under that section</w:t>
      </w:r>
      <w:r w:rsidRPr="0047127A">
        <w:t>.  Next, in part II.C., we explain the error of the majority and dissenting opinions</w:t>
      </w:r>
      <w:r w:rsidR="00D24AA3" w:rsidRPr="0047127A">
        <w:t xml:space="preserve"> in the Court of Appeal</w:t>
      </w:r>
      <w:r w:rsidRPr="0047127A">
        <w:t xml:space="preserve">.  Finally, in part II.D., we address whether the trial court </w:t>
      </w:r>
      <w:r w:rsidR="00D24AA3" w:rsidRPr="0047127A">
        <w:t xml:space="preserve">here </w:t>
      </w:r>
      <w:r w:rsidRPr="0047127A">
        <w:t xml:space="preserve">erred when, </w:t>
      </w:r>
      <w:r w:rsidR="00D24AA3" w:rsidRPr="0047127A">
        <w:t xml:space="preserve">for purposes of </w:t>
      </w:r>
      <w:r w:rsidRPr="0047127A">
        <w:t>resolving defendant’s section 995 motion, it looked only at the record of magistrate case 3119 and found no probable cause to support charges 1 through 4 of the joint information.</w:t>
      </w:r>
    </w:p>
    <w:p w14:paraId="39D4C303" w14:textId="1A46BDE0" w:rsidR="00666433" w:rsidRPr="0047127A" w:rsidRDefault="00FA2BA7" w:rsidP="0047127A">
      <w:pPr>
        <w:pStyle w:val="Heading2"/>
      </w:pPr>
      <w:r w:rsidRPr="0047127A">
        <w:t xml:space="preserve">A. </w:t>
      </w:r>
      <w:r w:rsidR="000D4665" w:rsidRPr="0047127A">
        <w:t xml:space="preserve">The Nature of </w:t>
      </w:r>
      <w:r w:rsidR="00B8767D" w:rsidRPr="0047127A">
        <w:t>Magistrate</w:t>
      </w:r>
      <w:r w:rsidR="003F2DFA" w:rsidRPr="0047127A">
        <w:t xml:space="preserve"> Proceedings</w:t>
      </w:r>
      <w:r w:rsidR="000D4665" w:rsidRPr="0047127A">
        <w:t xml:space="preserve"> and the Due Process Protections They Afford</w:t>
      </w:r>
    </w:p>
    <w:p w14:paraId="1F53E26C" w14:textId="2A299A6D" w:rsidR="001A5930" w:rsidRPr="0047127A" w:rsidRDefault="009F39C1" w:rsidP="0047127A">
      <w:pPr>
        <w:tabs>
          <w:tab w:val="left" w:pos="1440"/>
        </w:tabs>
        <w:ind w:firstLine="720"/>
      </w:pPr>
      <w:r w:rsidRPr="0047127A">
        <w:t>In modern criminal practice, w</w:t>
      </w:r>
      <w:r w:rsidR="00B8767D" w:rsidRPr="0047127A">
        <w:t xml:space="preserve">e tend to think of a magistrate as a state official who conducts a preliminary examination of the </w:t>
      </w:r>
      <w:r w:rsidR="00693C6C" w:rsidRPr="0047127A">
        <w:t>P</w:t>
      </w:r>
      <w:r w:rsidR="00B8767D" w:rsidRPr="0047127A">
        <w:t xml:space="preserve">eople’s case, </w:t>
      </w:r>
      <w:r w:rsidRPr="0047127A">
        <w:t xml:space="preserve">and that description is </w:t>
      </w:r>
      <w:r w:rsidR="003613A2" w:rsidRPr="0047127A">
        <w:lastRenderedPageBreak/>
        <w:t xml:space="preserve">certainly </w:t>
      </w:r>
      <w:r w:rsidRPr="0047127A">
        <w:t xml:space="preserve">accurate (see §§ 859b, 860), </w:t>
      </w:r>
      <w:r w:rsidR="00B8767D" w:rsidRPr="0047127A">
        <w:t xml:space="preserve">but the Penal Code defines the term “magistrate” as “an officer having power to issue a warrant for the arrest of a person charged with a public offense” (§ 807).  It is true that peace officers </w:t>
      </w:r>
      <w:r w:rsidR="003F513F" w:rsidRPr="0047127A">
        <w:t xml:space="preserve">often </w:t>
      </w:r>
      <w:r w:rsidR="00B8767D" w:rsidRPr="0047127A">
        <w:t>have authority</w:t>
      </w:r>
      <w:r w:rsidR="003F513F" w:rsidRPr="0047127A">
        <w:t xml:space="preserve"> to make arrests</w:t>
      </w:r>
      <w:r w:rsidR="00B8767D" w:rsidRPr="0047127A">
        <w:t xml:space="preserve"> without a magistrate’s warrant (see §§ 836, 849), and with the growth of modern law enforcement agencies, crime victims now tend to seek recourse from </w:t>
      </w:r>
      <w:r w:rsidR="0062087A" w:rsidRPr="0047127A">
        <w:t xml:space="preserve">city </w:t>
      </w:r>
      <w:r w:rsidR="00B8767D" w:rsidRPr="0047127A">
        <w:t>police</w:t>
      </w:r>
      <w:r w:rsidR="0062087A" w:rsidRPr="0047127A">
        <w:t xml:space="preserve"> departments </w:t>
      </w:r>
      <w:r w:rsidR="003F513F" w:rsidRPr="0047127A">
        <w:t xml:space="preserve">and </w:t>
      </w:r>
      <w:r w:rsidR="0062087A" w:rsidRPr="0047127A">
        <w:t>county sheriff’s office</w:t>
      </w:r>
      <w:r w:rsidR="003F513F" w:rsidRPr="0047127A">
        <w:t>s</w:t>
      </w:r>
      <w:r w:rsidR="006014DB">
        <w:t xml:space="preserve">. </w:t>
      </w:r>
      <w:r w:rsidR="00B8767D" w:rsidRPr="0047127A">
        <w:t xml:space="preserve"> </w:t>
      </w:r>
      <w:r w:rsidR="006014DB">
        <w:t>B</w:t>
      </w:r>
      <w:r w:rsidR="00B8767D" w:rsidRPr="0047127A">
        <w:t>ut decisions from the 19th century and the first half of the 20th century make clear that</w:t>
      </w:r>
      <w:r w:rsidR="00B530D6">
        <w:t>,</w:t>
      </w:r>
      <w:r w:rsidR="00B8767D" w:rsidRPr="0047127A">
        <w:t xml:space="preserve"> at one time, crime victims frequently sought recourse directly from </w:t>
      </w:r>
      <w:r w:rsidR="0062087A" w:rsidRPr="0047127A">
        <w:t>a</w:t>
      </w:r>
      <w:r w:rsidR="00B8767D" w:rsidRPr="0047127A">
        <w:t xml:space="preserve"> magistrate.  (See, e.g., </w:t>
      </w:r>
      <w:r w:rsidR="00B8767D" w:rsidRPr="0047127A">
        <w:rPr>
          <w:i/>
          <w:iCs/>
        </w:rPr>
        <w:t>People v. McDaniels</w:t>
      </w:r>
      <w:r w:rsidR="00B8767D" w:rsidRPr="0047127A">
        <w:t xml:space="preserve"> (1903) 141 Cal. 113; </w:t>
      </w:r>
      <w:r w:rsidR="00B8767D" w:rsidRPr="0047127A">
        <w:rPr>
          <w:i/>
          <w:iCs/>
        </w:rPr>
        <w:t>People v. George</w:t>
      </w:r>
      <w:r w:rsidR="00B8767D" w:rsidRPr="0047127A">
        <w:t xml:space="preserve"> (1898) 121 Cal. 492.)  The </w:t>
      </w:r>
      <w:r w:rsidR="00F31D06" w:rsidRPr="0047127A">
        <w:t xml:space="preserve">victim of a </w:t>
      </w:r>
      <w:r w:rsidR="00B8767D" w:rsidRPr="0047127A">
        <w:t xml:space="preserve">crime would approach </w:t>
      </w:r>
      <w:r w:rsidR="0062087A" w:rsidRPr="0047127A">
        <w:t>a</w:t>
      </w:r>
      <w:r w:rsidR="00B8767D" w:rsidRPr="0047127A">
        <w:t xml:space="preserve"> magistrate, </w:t>
      </w:r>
      <w:r w:rsidR="0062087A" w:rsidRPr="0047127A">
        <w:t xml:space="preserve">execute an affidavit </w:t>
      </w:r>
      <w:r w:rsidR="00B8767D" w:rsidRPr="0047127A">
        <w:t>describ</w:t>
      </w:r>
      <w:r w:rsidR="0062087A" w:rsidRPr="0047127A">
        <w:t>ing</w:t>
      </w:r>
      <w:r w:rsidR="00B8767D" w:rsidRPr="0047127A">
        <w:t xml:space="preserve"> the relevant events, and the magistrate would determine</w:t>
      </w:r>
      <w:r w:rsidR="003F513F" w:rsidRPr="0047127A">
        <w:t>,</w:t>
      </w:r>
      <w:r w:rsidR="00B8767D" w:rsidRPr="0047127A">
        <w:t xml:space="preserve"> </w:t>
      </w:r>
      <w:r w:rsidR="003F513F" w:rsidRPr="0047127A">
        <w:t xml:space="preserve">based on the affidavit and </w:t>
      </w:r>
      <w:r w:rsidR="001B0EF3" w:rsidRPr="0047127A">
        <w:t xml:space="preserve">the testimony of </w:t>
      </w:r>
      <w:r w:rsidR="003F513F" w:rsidRPr="0047127A">
        <w:t xml:space="preserve">any </w:t>
      </w:r>
      <w:r w:rsidR="00981EEA" w:rsidRPr="0047127A">
        <w:t xml:space="preserve">other </w:t>
      </w:r>
      <w:r w:rsidR="003F513F" w:rsidRPr="0047127A">
        <w:t>witness</w:t>
      </w:r>
      <w:r w:rsidR="001B0EF3" w:rsidRPr="0047127A">
        <w:t>es</w:t>
      </w:r>
      <w:r w:rsidR="003F513F" w:rsidRPr="0047127A">
        <w:t xml:space="preserve">, </w:t>
      </w:r>
      <w:r w:rsidR="00B8767D" w:rsidRPr="0047127A">
        <w:t>whether to issue an arrest warrant.  (</w:t>
      </w:r>
      <w:r w:rsidR="004D5ABE">
        <w:t>Stats.</w:t>
      </w:r>
      <w:r w:rsidR="00981EEA" w:rsidRPr="0047127A">
        <w:t xml:space="preserve"> </w:t>
      </w:r>
      <w:r w:rsidR="00B8767D" w:rsidRPr="004D5ABE">
        <w:t>1872</w:t>
      </w:r>
      <w:r w:rsidR="004D5ABE">
        <w:t>,</w:t>
      </w:r>
      <w:r w:rsidR="00B8767D" w:rsidRPr="004D5ABE">
        <w:t xml:space="preserve"> Pen. Code</w:t>
      </w:r>
      <w:r w:rsidR="00B8767D" w:rsidRPr="0047127A">
        <w:t xml:space="preserve">, §§ 811, 813, 814.)  </w:t>
      </w:r>
      <w:r w:rsidR="00981EEA" w:rsidRPr="0047127A">
        <w:t>Then, a</w:t>
      </w:r>
      <w:r w:rsidR="00B8767D" w:rsidRPr="0047127A">
        <w:t>fter the accused was arrested and brought before the magistrate (</w:t>
      </w:r>
      <w:r w:rsidR="00B8767D" w:rsidRPr="0047127A">
        <w:rPr>
          <w:i/>
          <w:iCs/>
        </w:rPr>
        <w:t>id</w:t>
      </w:r>
      <w:r w:rsidR="00B8767D" w:rsidRPr="0047127A">
        <w:t xml:space="preserve">., § 858), the magistrate would hold a preliminary examination </w:t>
      </w:r>
      <w:r w:rsidR="001B0EF3" w:rsidRPr="0047127A">
        <w:t xml:space="preserve">of the case </w:t>
      </w:r>
      <w:r w:rsidR="00B8767D" w:rsidRPr="0047127A">
        <w:t>(</w:t>
      </w:r>
      <w:r w:rsidR="00B8767D" w:rsidRPr="0047127A">
        <w:rPr>
          <w:i/>
          <w:iCs/>
        </w:rPr>
        <w:t>id</w:t>
      </w:r>
      <w:r w:rsidR="00B8767D" w:rsidRPr="0047127A">
        <w:t>., §§ 860–869)</w:t>
      </w:r>
      <w:r w:rsidR="0062087A" w:rsidRPr="0047127A">
        <w:t xml:space="preserve"> and decide </w:t>
      </w:r>
      <w:r w:rsidR="00B8767D" w:rsidRPr="0047127A">
        <w:t>whether the accused should be “</w:t>
      </w:r>
      <w:r w:rsidR="00491B1F" w:rsidRPr="0047127A">
        <w:t> ‘</w:t>
      </w:r>
      <w:r w:rsidR="00B8767D" w:rsidRPr="0047127A">
        <w:t>held to answer</w:t>
      </w:r>
      <w:r w:rsidR="00491B1F" w:rsidRPr="0047127A">
        <w:t>’ </w:t>
      </w:r>
      <w:r w:rsidR="00B8767D" w:rsidRPr="0047127A">
        <w:t>”</w:t>
      </w:r>
      <w:r w:rsidR="001B0EF3" w:rsidRPr="0047127A">
        <w:t xml:space="preserve"> </w:t>
      </w:r>
      <w:r w:rsidR="00491B1F" w:rsidRPr="0047127A">
        <w:t>(</w:t>
      </w:r>
      <w:r w:rsidR="001B0EF3" w:rsidRPr="00270A01">
        <w:rPr>
          <w:i/>
          <w:iCs/>
        </w:rPr>
        <w:t>i</w:t>
      </w:r>
      <w:r w:rsidR="00491B1F" w:rsidRPr="00270A01">
        <w:rPr>
          <w:i/>
          <w:iCs/>
        </w:rPr>
        <w:t>d</w:t>
      </w:r>
      <w:r w:rsidR="00491B1F" w:rsidRPr="00270A01">
        <w:t>., § 872)</w:t>
      </w:r>
      <w:r w:rsidR="001B0EF3" w:rsidRPr="00270A01">
        <w:t>.</w:t>
      </w:r>
      <w:r w:rsidR="00491B1F" w:rsidRPr="00270A01">
        <w:t xml:space="preserve">  </w:t>
      </w:r>
      <w:r w:rsidR="001A5930" w:rsidRPr="00270A01">
        <w:t xml:space="preserve">The word </w:t>
      </w:r>
      <w:r w:rsidR="00491B1F" w:rsidRPr="00270A01">
        <w:t>“</w:t>
      </w:r>
      <w:r w:rsidR="001A5930" w:rsidRPr="00270A01">
        <w:t>held</w:t>
      </w:r>
      <w:r w:rsidR="00491B1F" w:rsidRPr="00270A01">
        <w:t>”</w:t>
      </w:r>
      <w:r w:rsidR="001A5930" w:rsidRPr="00270A01">
        <w:t xml:space="preserve"> in this context was </w:t>
      </w:r>
      <w:r w:rsidR="00981EEA" w:rsidRPr="00270A01">
        <w:t xml:space="preserve">employed </w:t>
      </w:r>
      <w:r w:rsidR="003F513F" w:rsidRPr="00270A01">
        <w:t xml:space="preserve">in </w:t>
      </w:r>
      <w:r w:rsidR="00981EEA" w:rsidRPr="00270A01">
        <w:t>a</w:t>
      </w:r>
      <w:r w:rsidR="001B0EF3" w:rsidRPr="00270A01">
        <w:t xml:space="preserve"> </w:t>
      </w:r>
      <w:r w:rsidR="003756B5" w:rsidRPr="00270A01">
        <w:t xml:space="preserve">quite </w:t>
      </w:r>
      <w:r w:rsidR="003F513F" w:rsidRPr="00270A01">
        <w:t>literal sense</w:t>
      </w:r>
      <w:r w:rsidR="001A5930" w:rsidRPr="00270A01">
        <w:t xml:space="preserve">; </w:t>
      </w:r>
      <w:r w:rsidR="00491B1F" w:rsidRPr="00270A01">
        <w:t xml:space="preserve">being “ ‘held to answer’ ” meant being </w:t>
      </w:r>
      <w:r w:rsidR="00B8767D" w:rsidRPr="00270A01">
        <w:t>committed to the custody of the county sheriff pending the outcome of a court trial</w:t>
      </w:r>
      <w:r w:rsidR="00B346E6" w:rsidRPr="00270A01">
        <w:t xml:space="preserve"> </w:t>
      </w:r>
      <w:r w:rsidR="00B8767D" w:rsidRPr="00270A01">
        <w:t>(</w:t>
      </w:r>
      <w:r w:rsidR="00270A01">
        <w:rPr>
          <w:i/>
          <w:iCs/>
        </w:rPr>
        <w:t>id.</w:t>
      </w:r>
      <w:r w:rsidR="00270A01">
        <w:t xml:space="preserve">, § 872; </w:t>
      </w:r>
      <w:r w:rsidR="00B346E6" w:rsidRPr="00270A01">
        <w:t>see</w:t>
      </w:r>
      <w:r w:rsidR="00270A01">
        <w:t xml:space="preserve"> </w:t>
      </w:r>
      <w:r w:rsidR="00B346E6" w:rsidRPr="00270A01">
        <w:rPr>
          <w:i/>
          <w:iCs/>
        </w:rPr>
        <w:t>i</w:t>
      </w:r>
      <w:r w:rsidR="00B8767D" w:rsidRPr="00270A01">
        <w:rPr>
          <w:i/>
          <w:iCs/>
        </w:rPr>
        <w:t>d</w:t>
      </w:r>
      <w:r w:rsidR="00B8767D" w:rsidRPr="00270A01">
        <w:t>., §</w:t>
      </w:r>
      <w:r w:rsidR="00B346E6" w:rsidRPr="00270A01">
        <w:t>§</w:t>
      </w:r>
      <w:r w:rsidR="00B8767D" w:rsidRPr="00270A01">
        <w:t> 872, 876</w:t>
      </w:r>
      <w:r w:rsidR="00B8767D" w:rsidRPr="0047127A">
        <w:t>, 877)</w:t>
      </w:r>
      <w:r w:rsidR="003756B5" w:rsidRPr="0047127A">
        <w:t>, and o</w:t>
      </w:r>
      <w:r w:rsidR="007A2E7A" w:rsidRPr="0047127A">
        <w:t>nce that commitment order issued</w:t>
      </w:r>
      <w:r w:rsidR="00491B1F" w:rsidRPr="0047127A">
        <w:t>, i</w:t>
      </w:r>
      <w:r w:rsidR="00B8767D" w:rsidRPr="0047127A">
        <w:t>t was the duty of the district attorney to file an information in the superior court within 30 days, initiating a</w:t>
      </w:r>
      <w:r w:rsidR="007A2E7A" w:rsidRPr="0047127A">
        <w:t xml:space="preserve"> </w:t>
      </w:r>
      <w:r w:rsidR="00B8767D" w:rsidRPr="0047127A">
        <w:t xml:space="preserve">court proceeding to determine whether the accused was guilty of the charged </w:t>
      </w:r>
      <w:r w:rsidR="00693C6C" w:rsidRPr="0047127A">
        <w:t>offens</w:t>
      </w:r>
      <w:r w:rsidR="00B8767D" w:rsidRPr="0047127A">
        <w:t>e</w:t>
      </w:r>
      <w:r w:rsidR="003756B5" w:rsidRPr="0047127A">
        <w:t xml:space="preserve"> </w:t>
      </w:r>
      <w:r w:rsidR="00B8767D" w:rsidRPr="0047127A">
        <w:t>(</w:t>
      </w:r>
      <w:r w:rsidR="003756B5" w:rsidRPr="0047127A">
        <w:rPr>
          <w:i/>
          <w:iCs/>
        </w:rPr>
        <w:t>i</w:t>
      </w:r>
      <w:r w:rsidR="00B8767D" w:rsidRPr="0047127A">
        <w:rPr>
          <w:i/>
          <w:iCs/>
        </w:rPr>
        <w:t>d</w:t>
      </w:r>
      <w:r w:rsidR="00B8767D" w:rsidRPr="0047127A">
        <w:t>., § 809</w:t>
      </w:r>
      <w:r w:rsidR="003756B5" w:rsidRPr="0047127A">
        <w:t>)</w:t>
      </w:r>
      <w:r w:rsidR="00B8767D" w:rsidRPr="0047127A">
        <w:t>.</w:t>
      </w:r>
    </w:p>
    <w:p w14:paraId="6CE7D8F2" w14:textId="6E65E248" w:rsidR="00693C6C" w:rsidRPr="0047127A" w:rsidRDefault="001A5930" w:rsidP="0047127A">
      <w:pPr>
        <w:tabs>
          <w:tab w:val="left" w:pos="1440"/>
        </w:tabs>
        <w:ind w:firstLine="720"/>
      </w:pPr>
      <w:r w:rsidRPr="0047127A">
        <w:t>Today</w:t>
      </w:r>
      <w:r w:rsidR="007A2E7A" w:rsidRPr="0047127A">
        <w:t>,</w:t>
      </w:r>
      <w:r w:rsidRPr="0047127A">
        <w:t xml:space="preserve"> </w:t>
      </w:r>
      <w:r w:rsidR="007A2E7A" w:rsidRPr="0047127A">
        <w:t xml:space="preserve">crime </w:t>
      </w:r>
      <w:r w:rsidR="00FC2082" w:rsidRPr="0047127A">
        <w:t xml:space="preserve">victims </w:t>
      </w:r>
      <w:r w:rsidRPr="0047127A">
        <w:t xml:space="preserve">rarely approach a magistrate directly, but </w:t>
      </w:r>
      <w:r w:rsidR="0062087A" w:rsidRPr="0047127A">
        <w:t>the magistrate’s formal role has not changed</w:t>
      </w:r>
      <w:r w:rsidRPr="0047127A">
        <w:t>, and w</w:t>
      </w:r>
      <w:r w:rsidR="00B8767D" w:rsidRPr="0047127A">
        <w:t xml:space="preserve">hat this history makes clear </w:t>
      </w:r>
      <w:r w:rsidR="00693C6C" w:rsidRPr="0047127A">
        <w:t xml:space="preserve">is </w:t>
      </w:r>
      <w:r w:rsidR="00B8767D" w:rsidRPr="0047127A">
        <w:t xml:space="preserve">that </w:t>
      </w:r>
      <w:r w:rsidR="00693C6C" w:rsidRPr="0047127A">
        <w:t xml:space="preserve">the </w:t>
      </w:r>
      <w:r w:rsidRPr="0047127A">
        <w:t xml:space="preserve">proceeding before the </w:t>
      </w:r>
      <w:r w:rsidR="00693C6C" w:rsidRPr="0047127A">
        <w:lastRenderedPageBreak/>
        <w:t xml:space="preserve">magistrate </w:t>
      </w:r>
      <w:r w:rsidR="00B8767D" w:rsidRPr="0047127A">
        <w:t xml:space="preserve">is not </w:t>
      </w:r>
      <w:r w:rsidR="00491B1F" w:rsidRPr="0047127A">
        <w:t xml:space="preserve">merely </w:t>
      </w:r>
      <w:r w:rsidR="00693C6C" w:rsidRPr="0047127A">
        <w:t xml:space="preserve">the </w:t>
      </w:r>
      <w:r w:rsidR="00B8767D" w:rsidRPr="0047127A">
        <w:t xml:space="preserve">early stage of </w:t>
      </w:r>
      <w:r w:rsidR="00491B1F" w:rsidRPr="0047127A">
        <w:t>a</w:t>
      </w:r>
      <w:r w:rsidR="003F513F" w:rsidRPr="0047127A">
        <w:t xml:space="preserve"> </w:t>
      </w:r>
      <w:r w:rsidR="007A2E7A" w:rsidRPr="0047127A">
        <w:t xml:space="preserve">trial </w:t>
      </w:r>
      <w:r w:rsidR="00B8767D" w:rsidRPr="0047127A">
        <w:t>court pro</w:t>
      </w:r>
      <w:r w:rsidR="003F513F" w:rsidRPr="0047127A">
        <w:t xml:space="preserve">secution.  </w:t>
      </w:r>
      <w:r w:rsidR="00B8767D" w:rsidRPr="0047127A">
        <w:t>Rather, it is a</w:t>
      </w:r>
      <w:r w:rsidR="00693C6C" w:rsidRPr="0047127A">
        <w:t xml:space="preserve"> completely </w:t>
      </w:r>
      <w:r w:rsidR="00B8767D" w:rsidRPr="0047127A">
        <w:t xml:space="preserve">independent proceeding that </w:t>
      </w:r>
      <w:r w:rsidRPr="0047127A">
        <w:t xml:space="preserve">is </w:t>
      </w:r>
      <w:r w:rsidR="00693C6C" w:rsidRPr="0047127A">
        <w:t xml:space="preserve">primarily </w:t>
      </w:r>
      <w:r w:rsidR="00B8767D" w:rsidRPr="0047127A">
        <w:t xml:space="preserve">concerned </w:t>
      </w:r>
      <w:r w:rsidRPr="0047127A">
        <w:t xml:space="preserve">with </w:t>
      </w:r>
      <w:r w:rsidR="00B8767D" w:rsidRPr="0047127A">
        <w:t xml:space="preserve">the arrest and </w:t>
      </w:r>
      <w:r w:rsidR="00FC2082" w:rsidRPr="0047127A">
        <w:t xml:space="preserve">temporary </w:t>
      </w:r>
      <w:r w:rsidR="00B8767D" w:rsidRPr="0047127A">
        <w:t xml:space="preserve">detention of the </w:t>
      </w:r>
      <w:r w:rsidR="00693C6C" w:rsidRPr="0047127A">
        <w:t>defendant</w:t>
      </w:r>
      <w:r w:rsidRPr="0047127A">
        <w:t xml:space="preserve">.  Moreover, at one time, the magistrate proceeding </w:t>
      </w:r>
      <w:r w:rsidR="00B8767D" w:rsidRPr="0047127A">
        <w:t>could be initiated by a private party acting</w:t>
      </w:r>
      <w:r w:rsidR="00693C6C" w:rsidRPr="0047127A">
        <w:t xml:space="preserve"> without the concurrence of </w:t>
      </w:r>
      <w:r w:rsidRPr="0047127A">
        <w:t>any</w:t>
      </w:r>
      <w:r w:rsidR="00693C6C" w:rsidRPr="0047127A">
        <w:t xml:space="preserve"> elected prosecutorial authority</w:t>
      </w:r>
      <w:r w:rsidR="003F513F" w:rsidRPr="0047127A">
        <w:t xml:space="preserve">, much as today a private party can file a police report without the concurrence of any elected prosecutorial authority.  </w:t>
      </w:r>
      <w:r w:rsidR="00693C6C" w:rsidRPr="0047127A">
        <w:t>Th</w:t>
      </w:r>
      <w:r w:rsidR="003F513F" w:rsidRPr="0047127A">
        <w:t>is</w:t>
      </w:r>
      <w:r w:rsidR="00693C6C" w:rsidRPr="0047127A">
        <w:t xml:space="preserve"> </w:t>
      </w:r>
      <w:r w:rsidR="000041D9">
        <w:t xml:space="preserve">practice </w:t>
      </w:r>
      <w:r w:rsidR="00693C6C" w:rsidRPr="0047127A">
        <w:t xml:space="preserve">changed in 1972, when the Court of Appeal held that due process requires </w:t>
      </w:r>
      <w:r w:rsidR="003F513F" w:rsidRPr="0047127A">
        <w:t xml:space="preserve">that the </w:t>
      </w:r>
      <w:r w:rsidR="007A2E7A" w:rsidRPr="0047127A">
        <w:t xml:space="preserve">local </w:t>
      </w:r>
      <w:r w:rsidR="003F513F" w:rsidRPr="0047127A">
        <w:t xml:space="preserve">district attorney approve the filing </w:t>
      </w:r>
      <w:r w:rsidR="00693C6C" w:rsidRPr="0047127A">
        <w:t xml:space="preserve">of a criminal complaint.  (See </w:t>
      </w:r>
      <w:r w:rsidR="00693C6C" w:rsidRPr="0047127A">
        <w:rPr>
          <w:i/>
          <w:iCs/>
        </w:rPr>
        <w:t>People v. Municipal Court (Pellegrino)</w:t>
      </w:r>
      <w:r w:rsidR="00693C6C" w:rsidRPr="0047127A">
        <w:t xml:space="preserve"> (1972) 27 Cal.App.3d 193, 205–206.)  But before 1972, it was not uncommon for the complainant who executed a criminal complaint to be </w:t>
      </w:r>
      <w:r w:rsidR="007A2E7A" w:rsidRPr="0047127A">
        <w:t xml:space="preserve">the victim of the alleged </w:t>
      </w:r>
      <w:r w:rsidR="00693C6C" w:rsidRPr="0047127A">
        <w:t>crime, a witness, or a peace officer.</w:t>
      </w:r>
      <w:r w:rsidR="00DC1757" w:rsidRPr="0047127A">
        <w:t xml:space="preserve">  (See § 806 [requiring that </w:t>
      </w:r>
      <w:r w:rsidR="00437EC8" w:rsidRPr="0047127A">
        <w:t>a</w:t>
      </w:r>
      <w:r w:rsidR="00DC1757" w:rsidRPr="0047127A">
        <w:t xml:space="preserve"> felony complaint be subscribed by the complainant]; cf. § 739 [requiring that </w:t>
      </w:r>
      <w:r w:rsidR="00437EC8" w:rsidRPr="0047127A">
        <w:t>an</w:t>
      </w:r>
      <w:r w:rsidR="00DC1757" w:rsidRPr="0047127A">
        <w:t xml:space="preserve"> information be subscribed by the district attorney].)</w:t>
      </w:r>
    </w:p>
    <w:p w14:paraId="2642E09F" w14:textId="07FB9369" w:rsidR="00B8767D" w:rsidRPr="0047127A" w:rsidRDefault="00FC2082" w:rsidP="0047127A">
      <w:pPr>
        <w:tabs>
          <w:tab w:val="left" w:pos="1440"/>
        </w:tabs>
        <w:ind w:firstLine="720"/>
      </w:pPr>
      <w:r w:rsidRPr="0047127A">
        <w:t>Consistent with th</w:t>
      </w:r>
      <w:r w:rsidR="007A2E7A" w:rsidRPr="0047127A">
        <w:t xml:space="preserve">e </w:t>
      </w:r>
      <w:r w:rsidR="0006702A" w:rsidRPr="0047127A">
        <w:t xml:space="preserve">distinct and limited </w:t>
      </w:r>
      <w:r w:rsidR="007A2E7A" w:rsidRPr="0047127A">
        <w:t xml:space="preserve">role of the </w:t>
      </w:r>
      <w:r w:rsidRPr="0047127A">
        <w:t xml:space="preserve">magistrate, </w:t>
      </w:r>
      <w:r w:rsidR="00491B1F" w:rsidRPr="0047127A">
        <w:t>the office of magistrate</w:t>
      </w:r>
      <w:r w:rsidRPr="0047127A">
        <w:t xml:space="preserve"> i</w:t>
      </w:r>
      <w:r w:rsidR="00491B1F" w:rsidRPr="0047127A">
        <w:t xml:space="preserve">s institutionally separate from any court.  </w:t>
      </w:r>
      <w:r w:rsidR="00592396" w:rsidRPr="0047127A">
        <w:t xml:space="preserve">This point </w:t>
      </w:r>
      <w:r w:rsidR="007A2E7A" w:rsidRPr="0047127A">
        <w:t xml:space="preserve">tends to be </w:t>
      </w:r>
      <w:r w:rsidR="00592396" w:rsidRPr="0047127A">
        <w:t xml:space="preserve">obscured in modern practice because the felony complaint that initiates </w:t>
      </w:r>
      <w:r w:rsidR="007A2E7A" w:rsidRPr="0047127A">
        <w:t xml:space="preserve">the </w:t>
      </w:r>
      <w:r w:rsidR="00592396" w:rsidRPr="0047127A">
        <w:t xml:space="preserve">magistrate proceeding is filed at </w:t>
      </w:r>
      <w:r w:rsidR="00BB258B">
        <w:t>the</w:t>
      </w:r>
      <w:r w:rsidR="007A2E7A" w:rsidRPr="0047127A">
        <w:t xml:space="preserve"> </w:t>
      </w:r>
      <w:r w:rsidR="00592396" w:rsidRPr="0047127A">
        <w:t xml:space="preserve">court, but </w:t>
      </w:r>
      <w:r w:rsidR="007A2E7A" w:rsidRPr="0047127A">
        <w:t xml:space="preserve">as a technical matter, it is </w:t>
      </w:r>
      <w:r w:rsidR="00592396" w:rsidRPr="0047127A">
        <w:t>filed with the office of magistrate, not with the court</w:t>
      </w:r>
      <w:r w:rsidR="00A917EA">
        <w:t xml:space="preserve"> itself</w:t>
      </w:r>
      <w:r w:rsidR="00592396" w:rsidRPr="0047127A">
        <w:t>, and the judge who hold</w:t>
      </w:r>
      <w:r w:rsidR="007A2E7A" w:rsidRPr="0047127A">
        <w:t>s</w:t>
      </w:r>
      <w:r w:rsidR="00592396" w:rsidRPr="0047127A">
        <w:t xml:space="preserve"> the preliminary hearing sits as a magistrate, not as a judge.  </w:t>
      </w:r>
      <w:r w:rsidRPr="0047127A">
        <w:t xml:space="preserve">The Court of Appeal explained this point </w:t>
      </w:r>
      <w:r w:rsidR="007A2E7A" w:rsidRPr="0047127A">
        <w:t xml:space="preserve">in some detail </w:t>
      </w:r>
      <w:r w:rsidRPr="0047127A">
        <w:t xml:space="preserve">in </w:t>
      </w:r>
      <w:r w:rsidRPr="0047127A">
        <w:rPr>
          <w:i/>
          <w:iCs/>
        </w:rPr>
        <w:t>Koski v. James</w:t>
      </w:r>
      <w:r w:rsidR="009F3494" w:rsidRPr="0047127A">
        <w:t>, a case that was decided when municipal court judges served as magistrates.  The court said</w:t>
      </w:r>
      <w:r w:rsidRPr="0047127A">
        <w:t xml:space="preserve">:  </w:t>
      </w:r>
      <w:r w:rsidR="00B8767D" w:rsidRPr="0047127A">
        <w:t>“A magistrate is purely a creature of statute, the holder of a statutory office separate and distinct from the elective office of judge.  [Citations.]</w:t>
      </w:r>
      <w:r w:rsidR="009F4FBF">
        <w:t> . . . </w:t>
      </w:r>
      <w:r w:rsidR="00B8767D" w:rsidRPr="0047127A">
        <w:t xml:space="preserve">[¶]  ‘When a judge of a particular judicial </w:t>
      </w:r>
      <w:r w:rsidR="00B8767D" w:rsidRPr="0047127A">
        <w:lastRenderedPageBreak/>
        <w:t>district acts in the capacity of a magistrate, he does not do so as a judge of a particular court but rather as one who derives his powers from [statute]</w:t>
      </w:r>
      <w:r w:rsidR="0056762C">
        <w:t>.</w:t>
      </w:r>
      <w:r w:rsidR="00B8767D" w:rsidRPr="0047127A">
        <w:t xml:space="preserve">  [Citation.]  By initiating proceedings before magistrates, no trial jurisdiction of any court is invoked.’  [Citation.]</w:t>
      </w:r>
      <w:r w:rsidR="009F4FBF">
        <w:t xml:space="preserve">  [¶] . . . </w:t>
      </w:r>
      <w:r w:rsidR="009F4FBF" w:rsidRPr="005325B8">
        <w:t>[¶]</w:t>
      </w:r>
      <w:r w:rsidR="009F4FBF">
        <w:t> </w:t>
      </w:r>
      <w:r w:rsidR="009F4FBF" w:rsidRPr="005325B8">
        <w:t>.</w:t>
      </w:r>
      <w:r w:rsidR="009F4FBF">
        <w:t> </w:t>
      </w:r>
      <w:r w:rsidR="009F4FBF" w:rsidRPr="005325B8">
        <w:t>.</w:t>
      </w:r>
      <w:r w:rsidR="009F4FBF">
        <w:t> </w:t>
      </w:r>
      <w:r w:rsidR="009F4FBF" w:rsidRPr="005325B8">
        <w:t>. [¶]  Although the office of magistrate is an office which one holds under [statute] by virtue of being a judge, it is a different office from that of judge and is one conferred by statute not by district election.  Preliminary felony proceedings in any judicial district do not invoke the jurisdiction of the elected judge but of the magistrate.</w:t>
      </w:r>
      <w:r w:rsidR="00B8767D" w:rsidRPr="0047127A">
        <w:t>”  (</w:t>
      </w:r>
      <w:r w:rsidR="00B8767D" w:rsidRPr="0047127A">
        <w:rPr>
          <w:i/>
          <w:iCs/>
        </w:rPr>
        <w:t>Koski v. James</w:t>
      </w:r>
      <w:r w:rsidR="00B8767D" w:rsidRPr="0047127A">
        <w:t xml:space="preserve">, </w:t>
      </w:r>
      <w:r w:rsidR="00B8767D" w:rsidRPr="0047127A">
        <w:rPr>
          <w:i/>
          <w:iCs/>
        </w:rPr>
        <w:t>supra</w:t>
      </w:r>
      <w:r w:rsidR="00B8767D" w:rsidRPr="0047127A">
        <w:t>, 47 Cal.App.3d at pp. 354–355, fn. omitted.)</w:t>
      </w:r>
    </w:p>
    <w:p w14:paraId="6EAFEFED" w14:textId="08C1CF87" w:rsidR="00B8767D" w:rsidRPr="0047127A" w:rsidRDefault="0086621F" w:rsidP="0047127A">
      <w:pPr>
        <w:tabs>
          <w:tab w:val="left" w:pos="1440"/>
        </w:tabs>
        <w:ind w:firstLine="720"/>
      </w:pPr>
      <w:r w:rsidRPr="0047127A">
        <w:t xml:space="preserve">In summary, </w:t>
      </w:r>
      <w:r w:rsidR="004C4FAA" w:rsidRPr="0047127A">
        <w:t xml:space="preserve">the </w:t>
      </w:r>
      <w:r w:rsidR="00592396" w:rsidRPr="0047127A">
        <w:t xml:space="preserve">magistrate’s primary role </w:t>
      </w:r>
      <w:r w:rsidR="003D4AF5" w:rsidRPr="0047127A">
        <w:t xml:space="preserve">relates to </w:t>
      </w:r>
      <w:r w:rsidRPr="0047127A">
        <w:t xml:space="preserve">a defendant’s arrest and detention </w:t>
      </w:r>
      <w:r w:rsidR="004C4FAA" w:rsidRPr="0047127A">
        <w:t>pending a court trial</w:t>
      </w:r>
      <w:r w:rsidRPr="0047127A">
        <w:t xml:space="preserve">, and the </w:t>
      </w:r>
      <w:r w:rsidR="00B8767D" w:rsidRPr="0047127A">
        <w:t>magistrate represents the office of magistrate</w:t>
      </w:r>
      <w:r w:rsidRPr="0047127A">
        <w:t>, not a court</w:t>
      </w:r>
      <w:r w:rsidR="00B8767D" w:rsidRPr="0047127A">
        <w:t xml:space="preserve">.  Therefore, the proceeding that commences </w:t>
      </w:r>
      <w:r w:rsidR="00B8767D" w:rsidRPr="00DA0953">
        <w:rPr>
          <w:i/>
          <w:iCs/>
        </w:rPr>
        <w:t>after</w:t>
      </w:r>
      <w:r w:rsidR="00B8767D" w:rsidRPr="0047127A">
        <w:t xml:space="preserve"> </w:t>
      </w:r>
      <w:r w:rsidR="004C4FAA" w:rsidRPr="0047127A">
        <w:t xml:space="preserve">the </w:t>
      </w:r>
      <w:r w:rsidR="00B8767D" w:rsidRPr="0047127A">
        <w:t xml:space="preserve">magistrate has issued a commitment order is not </w:t>
      </w:r>
      <w:r w:rsidR="003F2DFA" w:rsidRPr="0047127A">
        <w:t xml:space="preserve">merely the next </w:t>
      </w:r>
      <w:r w:rsidR="00B8767D" w:rsidRPr="0047127A">
        <w:t>stage in a</w:t>
      </w:r>
      <w:r w:rsidR="000D4665" w:rsidRPr="0047127A">
        <w:t xml:space="preserve"> single </w:t>
      </w:r>
      <w:r w:rsidR="004C4FAA" w:rsidRPr="0047127A">
        <w:t xml:space="preserve">ongoing </w:t>
      </w:r>
      <w:r w:rsidR="00646ED6">
        <w:t xml:space="preserve">trial court </w:t>
      </w:r>
      <w:r w:rsidR="00B8767D" w:rsidRPr="0047127A">
        <w:t xml:space="preserve">prosecution; rather, it is the </w:t>
      </w:r>
      <w:r w:rsidR="00B8767D" w:rsidRPr="0047127A">
        <w:rPr>
          <w:i/>
          <w:iCs/>
        </w:rPr>
        <w:t>beginning</w:t>
      </w:r>
      <w:r w:rsidR="00B8767D" w:rsidRPr="0047127A">
        <w:t xml:space="preserve"> </w:t>
      </w:r>
      <w:r w:rsidR="000D4665" w:rsidRPr="0047127A">
        <w:t xml:space="preserve">of </w:t>
      </w:r>
      <w:r w:rsidR="003D4AF5" w:rsidRPr="0047127A">
        <w:t>that</w:t>
      </w:r>
      <w:r w:rsidR="000D4665" w:rsidRPr="0047127A">
        <w:t xml:space="preserve"> </w:t>
      </w:r>
      <w:r w:rsidR="00B8767D" w:rsidRPr="0047127A">
        <w:t>prosecution.</w:t>
      </w:r>
      <w:r w:rsidR="001B03E4" w:rsidRPr="0047127A">
        <w:t xml:space="preserve">  (See</w:t>
      </w:r>
      <w:r w:rsidRPr="0047127A">
        <w:t xml:space="preserve">, e.g., </w:t>
      </w:r>
      <w:r w:rsidR="001B03E4" w:rsidRPr="0047127A">
        <w:rPr>
          <w:i/>
          <w:iCs/>
        </w:rPr>
        <w:t>People v. Tideman</w:t>
      </w:r>
      <w:r w:rsidR="001B03E4" w:rsidRPr="0047127A">
        <w:t xml:space="preserve"> (1962) 57 Cal.2d 574, 579</w:t>
      </w:r>
      <w:r w:rsidR="003D03AE">
        <w:t>; cf. § 804 [defining “prosec</w:t>
      </w:r>
      <w:r w:rsidR="00626BC1">
        <w:t>u</w:t>
      </w:r>
      <w:r w:rsidR="003D03AE">
        <w:t>tion” specially, and more broadly, for purposes of applying various statutes of limitations]</w:t>
      </w:r>
      <w:r w:rsidR="001B03E4" w:rsidRPr="0047127A">
        <w:t>.)</w:t>
      </w:r>
      <w:r w:rsidR="00B8767D" w:rsidRPr="0047127A">
        <w:rPr>
          <w:rStyle w:val="FootnoteReference"/>
        </w:rPr>
        <w:footnoteReference w:id="10"/>
      </w:r>
    </w:p>
    <w:p w14:paraId="633F81A6" w14:textId="0DF77C92" w:rsidR="00F14D1F" w:rsidRPr="0047127A" w:rsidRDefault="000D4665" w:rsidP="0047127A">
      <w:pPr>
        <w:tabs>
          <w:tab w:val="left" w:pos="1440"/>
        </w:tabs>
        <w:ind w:firstLine="720"/>
      </w:pPr>
      <w:r w:rsidRPr="0047127A">
        <w:t xml:space="preserve">The latter point is brought into relief when we consider the constitutional protections that </w:t>
      </w:r>
      <w:r w:rsidR="001B03E4" w:rsidRPr="0047127A">
        <w:t xml:space="preserve">govern the initiation of </w:t>
      </w:r>
      <w:r w:rsidRPr="0047127A">
        <w:t>criminal prosecution</w:t>
      </w:r>
      <w:r w:rsidR="001B03E4" w:rsidRPr="0047127A">
        <w:t>s</w:t>
      </w:r>
      <w:r w:rsidRPr="0047127A">
        <w:t xml:space="preserve">.  </w:t>
      </w:r>
      <w:r w:rsidR="00F14D1F" w:rsidRPr="0047127A">
        <w:t>As the</w:t>
      </w:r>
      <w:r w:rsidR="005E2511" w:rsidRPr="0047127A">
        <w:t xml:space="preserve"> </w:t>
      </w:r>
      <w:r w:rsidR="00F14D1F" w:rsidRPr="0047127A">
        <w:t xml:space="preserve">Massachusetts Supreme Judicial Court explained over 160 years ago:  “The right of individual </w:t>
      </w:r>
      <w:r w:rsidR="00F14D1F" w:rsidRPr="0047127A">
        <w:lastRenderedPageBreak/>
        <w:t>citizens to be secure from an open and public accusation of crime, and from the trouble, expense and anxiety of a public trial, before a probable cause is established by the presentment and indictment of a grand jury, in case of high offences, is justly regarded as one of the securities to the innocent against hasty, malicious and oppressive public prosecutions, and as one of the ancient immunities and privileges of English liberty.”  (</w:t>
      </w:r>
      <w:r w:rsidR="00F14D1F" w:rsidRPr="0047127A">
        <w:rPr>
          <w:i/>
          <w:iCs/>
        </w:rPr>
        <w:t>Jones v. Robbins</w:t>
      </w:r>
      <w:r w:rsidR="00F14D1F" w:rsidRPr="0047127A">
        <w:t xml:space="preserve"> (1857) 74 Mass. 329, 344.)  </w:t>
      </w:r>
      <w:r w:rsidR="005E2511" w:rsidRPr="0047127A">
        <w:t xml:space="preserve">In California, however, </w:t>
      </w:r>
      <w:r w:rsidR="006D7233" w:rsidRPr="0047127A">
        <w:t xml:space="preserve">grand jury indictment is not required; rather, </w:t>
      </w:r>
      <w:r w:rsidR="005E2511" w:rsidRPr="0047127A">
        <w:t>felony prosecution</w:t>
      </w:r>
      <w:r w:rsidR="003D4AF5" w:rsidRPr="0047127A">
        <w:t>s</w:t>
      </w:r>
      <w:r w:rsidR="005E2511" w:rsidRPr="0047127A">
        <w:t xml:space="preserve"> can be </w:t>
      </w:r>
      <w:r w:rsidR="003D4AF5" w:rsidRPr="0047127A">
        <w:t>“</w:t>
      </w:r>
      <w:r w:rsidR="005E2511" w:rsidRPr="0047127A">
        <w:t xml:space="preserve">by indictment </w:t>
      </w:r>
      <w:r w:rsidR="005E2511" w:rsidRPr="0047127A">
        <w:rPr>
          <w:i/>
          <w:iCs/>
        </w:rPr>
        <w:t>or information</w:t>
      </w:r>
      <w:r w:rsidR="005E2511" w:rsidRPr="0047127A">
        <w:t>.</w:t>
      </w:r>
      <w:r w:rsidR="003D4AF5" w:rsidRPr="0047127A">
        <w:t>”</w:t>
      </w:r>
      <w:r w:rsidR="005E2511" w:rsidRPr="0047127A">
        <w:t xml:space="preserve">  (§ </w:t>
      </w:r>
      <w:r w:rsidR="003D4AF5" w:rsidRPr="0047127A">
        <w:t>682, italics added.)</w:t>
      </w:r>
      <w:r w:rsidR="005E2511" w:rsidRPr="0047127A">
        <w:t xml:space="preserve">  </w:t>
      </w:r>
      <w:r w:rsidR="003D4AF5" w:rsidRPr="0047127A">
        <w:t>B</w:t>
      </w:r>
      <w:r w:rsidR="00F14D1F" w:rsidRPr="0047127A">
        <w:t>ecause indictment by a grand jury protects</w:t>
      </w:r>
      <w:r w:rsidR="003D4AF5" w:rsidRPr="0047127A">
        <w:t xml:space="preserve"> such an </w:t>
      </w:r>
      <w:r w:rsidR="00F14D1F" w:rsidRPr="0047127A">
        <w:t xml:space="preserve">important liberty interest, </w:t>
      </w:r>
      <w:r w:rsidR="003D4AF5" w:rsidRPr="0047127A">
        <w:t xml:space="preserve">it follows that comparable </w:t>
      </w:r>
      <w:r w:rsidR="00F14D1F" w:rsidRPr="0047127A">
        <w:t>protections apply when a felony is prosecuted by information</w:t>
      </w:r>
      <w:r w:rsidR="006D7233" w:rsidRPr="0047127A">
        <w:t>, and indeed that is so</w:t>
      </w:r>
      <w:r w:rsidR="00F14D1F" w:rsidRPr="0047127A">
        <w:t>.</w:t>
      </w:r>
    </w:p>
    <w:p w14:paraId="165DAA7A" w14:textId="58F0E9ED" w:rsidR="00F14D1F" w:rsidRPr="0047127A" w:rsidRDefault="00F14D1F" w:rsidP="0047127A">
      <w:pPr>
        <w:tabs>
          <w:tab w:val="left" w:pos="1440"/>
        </w:tabs>
        <w:ind w:firstLine="720"/>
      </w:pPr>
      <w:r w:rsidRPr="0047127A">
        <w:t xml:space="preserve">It has long been held that the Fifth Amendment’s guarantee of indictment by grand jury does not apply to the states.  (See </w:t>
      </w:r>
      <w:r w:rsidRPr="0047127A">
        <w:rPr>
          <w:i/>
          <w:iCs/>
        </w:rPr>
        <w:t>Hurtado v. People of State of Cal.</w:t>
      </w:r>
      <w:r w:rsidRPr="0047127A">
        <w:t xml:space="preserve"> (1884) 110 U.S. 516 (</w:t>
      </w:r>
      <w:r w:rsidRPr="0047127A">
        <w:rPr>
          <w:i/>
          <w:iCs/>
        </w:rPr>
        <w:t>Hurtado</w:t>
      </w:r>
      <w:r w:rsidRPr="0047127A">
        <w:t xml:space="preserve">).)  In </w:t>
      </w:r>
      <w:r w:rsidRPr="0047127A">
        <w:rPr>
          <w:i/>
          <w:iCs/>
        </w:rPr>
        <w:t>Hurtado</w:t>
      </w:r>
      <w:r w:rsidRPr="0047127A">
        <w:t>, the high court reasoned that so long as a state provides, in advance of instituting a felony prosecution, some threshold procedure that comports with “fundamental principles of liberty and justice,” the Fourteenth Amendment’s due process guarantee is satisfied.  (</w:t>
      </w:r>
      <w:r w:rsidRPr="0047127A">
        <w:rPr>
          <w:i/>
          <w:iCs/>
        </w:rPr>
        <w:t>Id</w:t>
      </w:r>
      <w:r w:rsidRPr="0047127A">
        <w:t>. at p. 535.)  But the threshold procedure, whatever it might be, must be adequate “ ‘to secure the individual from the arbitrary exercise of the powers of government.’ ”  (</w:t>
      </w:r>
      <w:r w:rsidRPr="0047127A">
        <w:rPr>
          <w:i/>
          <w:iCs/>
        </w:rPr>
        <w:t>Id</w:t>
      </w:r>
      <w:r w:rsidRPr="0047127A">
        <w:t xml:space="preserve">. at p. 527, quoting </w:t>
      </w:r>
      <w:r w:rsidRPr="0047127A">
        <w:rPr>
          <w:i/>
          <w:iCs/>
        </w:rPr>
        <w:t>Bank of Columbia v. Okely</w:t>
      </w:r>
      <w:r w:rsidRPr="0047127A">
        <w:t xml:space="preserve"> (1819) 17 U.S. 235, 244.)</w:t>
      </w:r>
      <w:r w:rsidR="002A27D0">
        <w:rPr>
          <w:rStyle w:val="FootnoteReference"/>
        </w:rPr>
        <w:footnoteReference w:id="11"/>
      </w:r>
      <w:r w:rsidRPr="0047127A">
        <w:t xml:space="preserve">  </w:t>
      </w:r>
      <w:r w:rsidR="00DA5F76" w:rsidRPr="0047127A">
        <w:t xml:space="preserve">The </w:t>
      </w:r>
      <w:r w:rsidR="00DA5F76" w:rsidRPr="0047127A">
        <w:rPr>
          <w:i/>
          <w:iCs/>
        </w:rPr>
        <w:t>Hurtado</w:t>
      </w:r>
      <w:r w:rsidR="00DA5F76" w:rsidRPr="0047127A">
        <w:t xml:space="preserve"> court </w:t>
      </w:r>
      <w:r w:rsidR="00DA5F76" w:rsidRPr="0047127A">
        <w:lastRenderedPageBreak/>
        <w:t xml:space="preserve">then discussed </w:t>
      </w:r>
      <w:r w:rsidR="004C6D45" w:rsidRPr="0047127A">
        <w:t xml:space="preserve">the </w:t>
      </w:r>
      <w:r w:rsidR="00DA5F76" w:rsidRPr="0047127A">
        <w:t>magistrate proceeding</w:t>
      </w:r>
      <w:r w:rsidR="004C6D45" w:rsidRPr="0047127A">
        <w:t xml:space="preserve"> that</w:t>
      </w:r>
      <w:r w:rsidR="006D7233" w:rsidRPr="0047127A">
        <w:t>,</w:t>
      </w:r>
      <w:r w:rsidR="004C6D45" w:rsidRPr="0047127A">
        <w:t xml:space="preserve"> </w:t>
      </w:r>
      <w:r w:rsidR="006A2F94">
        <w:t xml:space="preserve">under </w:t>
      </w:r>
      <w:r w:rsidR="006D7233" w:rsidRPr="0047127A">
        <w:t>California</w:t>
      </w:r>
      <w:r w:rsidR="006A2F94">
        <w:t xml:space="preserve"> law</w:t>
      </w:r>
      <w:r w:rsidR="006D7233" w:rsidRPr="0047127A">
        <w:t xml:space="preserve">, </w:t>
      </w:r>
      <w:r w:rsidR="004C6D45" w:rsidRPr="0047127A">
        <w:t xml:space="preserve">precedes the filing of an information.  </w:t>
      </w:r>
      <w:r w:rsidRPr="0047127A">
        <w:t xml:space="preserve">Upholding </w:t>
      </w:r>
      <w:r w:rsidR="00DA5F76" w:rsidRPr="0047127A">
        <w:t xml:space="preserve">California’s </w:t>
      </w:r>
      <w:r w:rsidRPr="0047127A">
        <w:t xml:space="preserve">practice, the </w:t>
      </w:r>
      <w:r w:rsidRPr="0047127A">
        <w:rPr>
          <w:i/>
          <w:iCs/>
        </w:rPr>
        <w:t>Hurtado</w:t>
      </w:r>
      <w:r w:rsidRPr="0047127A">
        <w:t xml:space="preserve"> court declared:  “[W]e are unable to say that . . . proceeding by information</w:t>
      </w:r>
      <w:r w:rsidR="008626B0">
        <w:t>,</w:t>
      </w:r>
      <w:r w:rsidRPr="0047127A">
        <w:t xml:space="preserve"> after examination and commitment by a magistrate, certifying to the probable guilt of the defendant, with the right on his part to the aid of counsel, and to the cross-examination of the witnesses produced for the prosecution, is not due process of law.”  (</w:t>
      </w:r>
      <w:r w:rsidRPr="0047127A">
        <w:rPr>
          <w:i/>
          <w:iCs/>
        </w:rPr>
        <w:t>Id</w:t>
      </w:r>
      <w:r w:rsidRPr="0047127A">
        <w:t>. at p. 538.)</w:t>
      </w:r>
    </w:p>
    <w:p w14:paraId="5BCED665" w14:textId="19AEB646" w:rsidR="006113CD" w:rsidRDefault="00F14D1F" w:rsidP="0047127A">
      <w:pPr>
        <w:tabs>
          <w:tab w:val="left" w:pos="1440"/>
        </w:tabs>
        <w:ind w:firstLine="720"/>
      </w:pPr>
      <w:r w:rsidRPr="0047127A">
        <w:t xml:space="preserve">What </w:t>
      </w:r>
      <w:r w:rsidRPr="0047127A">
        <w:rPr>
          <w:i/>
          <w:iCs/>
        </w:rPr>
        <w:t>Hurtado</w:t>
      </w:r>
      <w:r w:rsidRPr="0047127A">
        <w:t xml:space="preserve"> makes clear is that (1) the filing of a felony complaint with a magistrate, (2) the magistrate’s preliminary examination of the case, and (3) the </w:t>
      </w:r>
      <w:r w:rsidR="006D7233" w:rsidRPr="0047127A">
        <w:t xml:space="preserve">magistrate’s </w:t>
      </w:r>
      <w:r w:rsidRPr="0047127A">
        <w:t xml:space="preserve">commitment order, while being in some sense the initiation of a criminal </w:t>
      </w:r>
      <w:r w:rsidR="00467633">
        <w:t>case</w:t>
      </w:r>
      <w:r w:rsidR="004C6D45" w:rsidRPr="0047127A">
        <w:t xml:space="preserve"> </w:t>
      </w:r>
      <w:r w:rsidRPr="0047127A">
        <w:t xml:space="preserve">(see </w:t>
      </w:r>
      <w:r w:rsidR="00DD67A0" w:rsidRPr="0047127A">
        <w:rPr>
          <w:i/>
          <w:iCs/>
        </w:rPr>
        <w:t>People v. Martinez</w:t>
      </w:r>
      <w:r w:rsidR="00DD67A0" w:rsidRPr="0047127A">
        <w:t xml:space="preserve"> (2000) 22 Cal.4th 750, 754; </w:t>
      </w:r>
      <w:r w:rsidRPr="0047127A">
        <w:rPr>
          <w:i/>
          <w:iCs/>
        </w:rPr>
        <w:t>In re Harris</w:t>
      </w:r>
      <w:r w:rsidRPr="0047127A">
        <w:t xml:space="preserve"> (1989) 49 Cal.3d 131, 136–137), are </w:t>
      </w:r>
      <w:r w:rsidR="009C0684" w:rsidRPr="0047127A">
        <w:t xml:space="preserve">components of a threshold proceeding </w:t>
      </w:r>
      <w:r w:rsidRPr="0047127A">
        <w:t xml:space="preserve">that </w:t>
      </w:r>
      <w:r w:rsidR="004C6D45" w:rsidRPr="0047127A">
        <w:t>precede</w:t>
      </w:r>
      <w:r w:rsidR="009C0684" w:rsidRPr="0047127A">
        <w:t>s</w:t>
      </w:r>
      <w:r w:rsidR="004C6D45" w:rsidRPr="0047127A">
        <w:t xml:space="preserve"> the formal </w:t>
      </w:r>
      <w:r w:rsidR="002D59FE">
        <w:t xml:space="preserve">trial court </w:t>
      </w:r>
      <w:r w:rsidR="004C6D45" w:rsidRPr="0047127A">
        <w:t xml:space="preserve">prosecution of the defendant and that </w:t>
      </w:r>
      <w:r w:rsidRPr="0047127A">
        <w:t>ensure</w:t>
      </w:r>
      <w:r w:rsidR="009C0684" w:rsidRPr="0047127A">
        <w:t>s</w:t>
      </w:r>
      <w:r w:rsidRPr="0047127A">
        <w:t xml:space="preserve"> that the district attorney or other prosecutorial authority does not abuse his or her power.  </w:t>
      </w:r>
      <w:r w:rsidRPr="0047127A">
        <w:lastRenderedPageBreak/>
        <w:t xml:space="preserve">(See </w:t>
      </w:r>
      <w:r w:rsidR="00DD67A0" w:rsidRPr="0047127A">
        <w:rPr>
          <w:i/>
          <w:iCs/>
        </w:rPr>
        <w:t>People v. Martinez</w:t>
      </w:r>
      <w:r w:rsidR="00DD67A0" w:rsidRPr="0047127A">
        <w:t xml:space="preserve">, at p. 763 [“Although at first glance a felony complaint may appear to be a ‘formal charge,’ it is not a document upon which a defendant may be subjected to trial”]; </w:t>
      </w:r>
      <w:r w:rsidRPr="0047127A">
        <w:rPr>
          <w:i/>
          <w:iCs/>
        </w:rPr>
        <w:t>Jones v. Superior Court</w:t>
      </w:r>
      <w:r w:rsidRPr="0047127A">
        <w:t xml:space="preserve"> (1971) 4 Cal.3d 660, 664 [recognizing “the constitutional mandate which ‘protects a person from prosecution in the absence of a prior determination by either a magistrate or a grand jury that such action is justified’</w:t>
      </w:r>
      <w:r w:rsidR="006C13B4">
        <w:t> </w:t>
      </w:r>
      <w:r w:rsidRPr="0047127A">
        <w:t>”]</w:t>
      </w:r>
      <w:r w:rsidR="004C6D45" w:rsidRPr="0047127A">
        <w:t xml:space="preserve">; </w:t>
      </w:r>
      <w:r w:rsidR="004C6D45" w:rsidRPr="0047127A">
        <w:rPr>
          <w:i/>
          <w:iCs/>
        </w:rPr>
        <w:t>People v. Tideman</w:t>
      </w:r>
      <w:r w:rsidR="004C6D45" w:rsidRPr="0047127A">
        <w:t xml:space="preserve">, </w:t>
      </w:r>
      <w:r w:rsidR="004C6D45" w:rsidRPr="0047127A">
        <w:rPr>
          <w:i/>
          <w:iCs/>
        </w:rPr>
        <w:t>supra</w:t>
      </w:r>
      <w:r w:rsidR="004C6D45" w:rsidRPr="0047127A">
        <w:t>, 57 Cal.2d at p. 579 [“The prosecution (with the exceptions not here material) commences when the indictment or information is filed in the superior court</w:t>
      </w:r>
      <w:r w:rsidR="009C0684" w:rsidRPr="0047127A">
        <w:t> . . . .</w:t>
      </w:r>
      <w:r w:rsidR="004C6D45" w:rsidRPr="0047127A">
        <w:t>”]</w:t>
      </w:r>
      <w:r w:rsidR="00DD67A0" w:rsidRPr="0047127A">
        <w:t xml:space="preserve">; see also </w:t>
      </w:r>
      <w:r w:rsidRPr="0047127A">
        <w:rPr>
          <w:i/>
          <w:iCs/>
        </w:rPr>
        <w:t>Hurtado</w:t>
      </w:r>
      <w:r w:rsidRPr="0047127A">
        <w:t xml:space="preserve">, </w:t>
      </w:r>
      <w:r w:rsidRPr="0047127A">
        <w:rPr>
          <w:i/>
          <w:iCs/>
        </w:rPr>
        <w:t>supra</w:t>
      </w:r>
      <w:r w:rsidRPr="0047127A">
        <w:t>, 110 U.S. at pp. 537–538.)</w:t>
      </w:r>
      <w:r w:rsidRPr="0047127A">
        <w:rPr>
          <w:rStyle w:val="FootnoteReference"/>
        </w:rPr>
        <w:footnoteReference w:id="12"/>
      </w:r>
      <w:r w:rsidRPr="0047127A">
        <w:t xml:space="preserve">  </w:t>
      </w:r>
      <w:r w:rsidR="00D13821" w:rsidRPr="0047127A">
        <w:t>For this reason</w:t>
      </w:r>
      <w:r w:rsidR="0091640A" w:rsidRPr="0047127A">
        <w:t xml:space="preserve">, </w:t>
      </w:r>
      <w:r w:rsidRPr="0047127A">
        <w:t>the felony complaint that initiates this threshold proceeding does not need to be “subscribed” (i.e., signed) by the district attorney</w:t>
      </w:r>
      <w:r w:rsidR="0091640A" w:rsidRPr="0047127A">
        <w:t xml:space="preserve"> </w:t>
      </w:r>
      <w:r w:rsidRPr="0047127A">
        <w:t>(§ 806)</w:t>
      </w:r>
      <w:bookmarkStart w:id="9" w:name="_Hlk57041195"/>
      <w:r w:rsidR="0091640A" w:rsidRPr="0047127A">
        <w:t xml:space="preserve">, and the </w:t>
      </w:r>
      <w:r w:rsidRPr="0047127A">
        <w:t>proceeding does not invoke the jurisdiction of any court</w:t>
      </w:r>
      <w:r w:rsidR="00C24B8B" w:rsidRPr="0047127A">
        <w:t xml:space="preserve"> </w:t>
      </w:r>
      <w:r w:rsidRPr="0047127A">
        <w:t>(§</w:t>
      </w:r>
      <w:r w:rsidR="00C24B8B" w:rsidRPr="0047127A">
        <w:t> </w:t>
      </w:r>
      <w:r w:rsidRPr="0047127A">
        <w:t>813, subd. (a)</w:t>
      </w:r>
      <w:bookmarkEnd w:id="9"/>
      <w:r w:rsidR="00C24B8B" w:rsidRPr="0047127A">
        <w:t>).</w:t>
      </w:r>
    </w:p>
    <w:p w14:paraId="2F0F50AA" w14:textId="5BC6DB16" w:rsidR="00276382" w:rsidRPr="0047127A" w:rsidRDefault="00276382" w:rsidP="0047127A">
      <w:pPr>
        <w:tabs>
          <w:tab w:val="left" w:pos="1440"/>
        </w:tabs>
        <w:ind w:firstLine="720"/>
      </w:pPr>
      <w:r>
        <w:t>Significantly, th</w:t>
      </w:r>
      <w:r w:rsidR="00690E1F">
        <w:t>e</w:t>
      </w:r>
      <w:r>
        <w:t xml:space="preserve"> </w:t>
      </w:r>
      <w:r w:rsidR="007F6839">
        <w:t xml:space="preserve">threshold </w:t>
      </w:r>
      <w:r w:rsidR="00690E1F">
        <w:t xml:space="preserve">nature of this </w:t>
      </w:r>
      <w:r w:rsidR="007F6839">
        <w:t xml:space="preserve">proceeding </w:t>
      </w:r>
      <w:r>
        <w:t xml:space="preserve">is not just </w:t>
      </w:r>
      <w:r w:rsidRPr="00276382">
        <w:t>a matter of legal</w:t>
      </w:r>
      <w:r w:rsidR="002C7330">
        <w:t xml:space="preserve"> </w:t>
      </w:r>
      <w:r w:rsidRPr="00276382">
        <w:t>doctrine</w:t>
      </w:r>
      <w:r>
        <w:t>.  F</w:t>
      </w:r>
      <w:r w:rsidRPr="00276382">
        <w:t>rom the accused’s point of view,</w:t>
      </w:r>
      <w:r w:rsidR="007F6839">
        <w:t xml:space="preserve"> the </w:t>
      </w:r>
      <w:r w:rsidRPr="00276382">
        <w:t xml:space="preserve">proceeding before a magistrate does not carry with it the same significance as a </w:t>
      </w:r>
      <w:r w:rsidR="007F6839">
        <w:t xml:space="preserve">trial court </w:t>
      </w:r>
      <w:r w:rsidRPr="00276382">
        <w:t>prosecution</w:t>
      </w:r>
      <w:r w:rsidR="00311F75">
        <w:t xml:space="preserve">, in that </w:t>
      </w:r>
      <w:r w:rsidR="007F6839" w:rsidRPr="007F6839">
        <w:t xml:space="preserve">“the filing of a felony complaint, unlike indictment or accusation by information, does not threaten oppressive pretrial incarceration.  The time constraints within which the preliminary hearing must be conducted or the complaint </w:t>
      </w:r>
      <w:r w:rsidR="007F6839" w:rsidRPr="007F6839">
        <w:lastRenderedPageBreak/>
        <w:t>dismissed and the defendant released (§ 859b) ensure that the defendant is not subjected to extended anxiety or public opprobrium, and by giving the defendant immediate notice of the charge and opportunity to defend avoid prejudice to the defense.”  (</w:t>
      </w:r>
      <w:r w:rsidR="007F6839" w:rsidRPr="007F6839">
        <w:rPr>
          <w:i/>
          <w:iCs/>
        </w:rPr>
        <w:t>Serna v. Superior Court</w:t>
      </w:r>
      <w:r w:rsidR="007F6839" w:rsidRPr="007F6839">
        <w:t xml:space="preserve"> (1985) 40 Cal.3d 239, 257.)</w:t>
      </w:r>
    </w:p>
    <w:p w14:paraId="78C3EFA2" w14:textId="66D50477" w:rsidR="00FA2BA7" w:rsidRPr="0047127A" w:rsidRDefault="000D4665" w:rsidP="0047127A">
      <w:pPr>
        <w:pStyle w:val="Heading2"/>
      </w:pPr>
      <w:r w:rsidRPr="00F168A4">
        <w:t>B</w:t>
      </w:r>
      <w:r w:rsidR="00FA2BA7" w:rsidRPr="00F168A4">
        <w:t xml:space="preserve">. </w:t>
      </w:r>
      <w:r w:rsidR="00DC6792" w:rsidRPr="00F168A4">
        <w:t>Section 954</w:t>
      </w:r>
      <w:r w:rsidRPr="00F168A4">
        <w:t>’s Joinder Clause</w:t>
      </w:r>
    </w:p>
    <w:p w14:paraId="4B2EDEED" w14:textId="19D4B6DF" w:rsidR="00C2577C" w:rsidRPr="0047127A" w:rsidRDefault="00FA5280" w:rsidP="0047127A">
      <w:pPr>
        <w:tabs>
          <w:tab w:val="left" w:pos="1440"/>
        </w:tabs>
        <w:ind w:firstLine="720"/>
      </w:pPr>
      <w:r w:rsidRPr="0047127A">
        <w:t>I</w:t>
      </w:r>
      <w:r w:rsidR="007D4E4E" w:rsidRPr="0047127A">
        <w:t xml:space="preserve">n considering </w:t>
      </w:r>
      <w:r w:rsidR="007C539A" w:rsidRPr="0047127A">
        <w:t xml:space="preserve">whether </w:t>
      </w:r>
      <w:r w:rsidRPr="0047127A">
        <w:t>section 954’s joinder clause</w:t>
      </w:r>
      <w:r w:rsidR="007C539A" w:rsidRPr="0047127A">
        <w:t xml:space="preserve"> permits the joint information that the district attorney filed in th</w:t>
      </w:r>
      <w:r w:rsidR="00424CCA" w:rsidRPr="0047127A">
        <w:t xml:space="preserve">e present </w:t>
      </w:r>
      <w:r w:rsidR="007C539A" w:rsidRPr="0047127A">
        <w:t>case</w:t>
      </w:r>
      <w:r w:rsidRPr="0047127A">
        <w:t xml:space="preserve">, </w:t>
      </w:r>
      <w:r w:rsidR="00355484" w:rsidRPr="0047127A">
        <w:t>it is worth noting</w:t>
      </w:r>
      <w:r w:rsidR="00424CCA" w:rsidRPr="0047127A">
        <w:t xml:space="preserve"> </w:t>
      </w:r>
      <w:r w:rsidR="00355484" w:rsidRPr="0047127A">
        <w:t xml:space="preserve">that </w:t>
      </w:r>
      <w:r w:rsidR="007D4E4E" w:rsidRPr="0047127A">
        <w:t>California</w:t>
      </w:r>
      <w:r w:rsidR="00424CCA" w:rsidRPr="0047127A">
        <w:t xml:space="preserve"> has long adhered to a </w:t>
      </w:r>
      <w:r w:rsidR="00355484" w:rsidRPr="0047127A">
        <w:t xml:space="preserve">policy </w:t>
      </w:r>
      <w:r w:rsidR="00424CCA" w:rsidRPr="0047127A">
        <w:t xml:space="preserve">of </w:t>
      </w:r>
      <w:r w:rsidR="00355484" w:rsidRPr="0047127A">
        <w:t>promot</w:t>
      </w:r>
      <w:r w:rsidR="00424CCA" w:rsidRPr="0047127A">
        <w:t xml:space="preserve">ing </w:t>
      </w:r>
      <w:r w:rsidR="00355484" w:rsidRPr="0047127A">
        <w:t xml:space="preserve">judicial economy through </w:t>
      </w:r>
      <w:r w:rsidR="00424CCA" w:rsidRPr="0047127A">
        <w:t xml:space="preserve">the </w:t>
      </w:r>
      <w:r w:rsidR="00355484" w:rsidRPr="0047127A">
        <w:t xml:space="preserve">joinder of appropriately related offenses, subject to severance </w:t>
      </w:r>
      <w:r w:rsidR="00424CCA" w:rsidRPr="0047127A">
        <w:t xml:space="preserve">as </w:t>
      </w:r>
      <w:r w:rsidR="00355484" w:rsidRPr="0047127A">
        <w:t xml:space="preserve">necessary to protect the interests of the defendant.  (See </w:t>
      </w:r>
      <w:r w:rsidR="00355484" w:rsidRPr="0047127A">
        <w:rPr>
          <w:i/>
          <w:iCs/>
        </w:rPr>
        <w:t>People v. Ochoa</w:t>
      </w:r>
      <w:r w:rsidR="00355484" w:rsidRPr="0047127A">
        <w:t xml:space="preserve"> (1998) 19 Cal.4th 353, 409 [“ ‘Joinder of related charges . . . ordinarily avoids needless harassment of the defendant and the waste of public funds which may result if the same general facts were to be tried in two or more separate trials . . . .’ ”]; see generally McDonald, </w:t>
      </w:r>
      <w:r w:rsidR="00355484" w:rsidRPr="0047127A">
        <w:rPr>
          <w:i/>
          <w:iCs/>
        </w:rPr>
        <w:t>Prejudicial Joinder under California Penal Code Section 954:  Judicial Economy at a Premium</w:t>
      </w:r>
      <w:r w:rsidR="00355484" w:rsidRPr="0047127A">
        <w:t xml:space="preserve"> (1989) 20 McGeorge L. Rev. 1235.)</w:t>
      </w:r>
    </w:p>
    <w:p w14:paraId="541417F6" w14:textId="0555A154" w:rsidR="007C6AEA" w:rsidRPr="0047127A" w:rsidRDefault="007C539A" w:rsidP="0047127A">
      <w:pPr>
        <w:tabs>
          <w:tab w:val="left" w:pos="1440"/>
        </w:tabs>
        <w:ind w:firstLine="720"/>
      </w:pPr>
      <w:r w:rsidRPr="0047127A">
        <w:t>Moreover, p</w:t>
      </w:r>
      <w:r w:rsidR="00781D1F" w:rsidRPr="0047127A">
        <w:t xml:space="preserve">rior to 1951, </w:t>
      </w:r>
      <w:r w:rsidR="00FA5280" w:rsidRPr="0047127A">
        <w:t>section 954</w:t>
      </w:r>
      <w:r w:rsidR="009C071A" w:rsidRPr="0047127A">
        <w:t xml:space="preserve"> </w:t>
      </w:r>
      <w:r w:rsidR="00C2577C" w:rsidRPr="0047127A">
        <w:t xml:space="preserve">expressly allowed </w:t>
      </w:r>
      <w:r w:rsidR="00922002" w:rsidRPr="0047127A">
        <w:t xml:space="preserve">precisely </w:t>
      </w:r>
      <w:r w:rsidR="00C2577C" w:rsidRPr="0047127A">
        <w:t xml:space="preserve">what the district attorney did </w:t>
      </w:r>
      <w:r w:rsidRPr="0047127A">
        <w:t>here</w:t>
      </w:r>
      <w:r w:rsidR="00C2577C" w:rsidRPr="0047127A">
        <w:t xml:space="preserve">.  That is, it allowed the district attorney to join related felony offenses in a single “information” without the necessity of obtaining a court order.  The statute then </w:t>
      </w:r>
      <w:r w:rsidR="00FA5280" w:rsidRPr="0047127A">
        <w:t>provided</w:t>
      </w:r>
      <w:r w:rsidR="00C2577C" w:rsidRPr="0047127A">
        <w:t xml:space="preserve"> in relevant part</w:t>
      </w:r>
      <w:r w:rsidR="00781D1F" w:rsidRPr="0047127A">
        <w:t>:</w:t>
      </w:r>
      <w:r w:rsidR="00141C6F" w:rsidRPr="0047127A">
        <w:t xml:space="preserve">  “</w:t>
      </w:r>
      <w:r w:rsidR="003804C2" w:rsidRPr="0047127A">
        <w:t xml:space="preserve">An indictment, </w:t>
      </w:r>
      <w:r w:rsidR="003804C2" w:rsidRPr="0047127A">
        <w:rPr>
          <w:i/>
          <w:iCs/>
        </w:rPr>
        <w:t>information</w:t>
      </w:r>
      <w:r w:rsidR="003804C2" w:rsidRPr="0047127A">
        <w:t>, or complaint</w:t>
      </w:r>
      <w:r w:rsidR="00035C47" w:rsidRPr="0047127A">
        <w:t xml:space="preserve"> may charge two or more different offenses connected together in their commission</w:t>
      </w:r>
      <w:r w:rsidR="00890E0D" w:rsidRPr="0047127A">
        <w:t>, or different statements of the same offense[,] or two or more different offenses of the same class of crimes or offenses, under separate counts, and if two or more indictments or informations are filed in such cases the court may order them to be consolidated</w:t>
      </w:r>
      <w:r w:rsidR="00E94BE4" w:rsidRPr="0047127A">
        <w:t>.</w:t>
      </w:r>
      <w:r w:rsidR="003804C2" w:rsidRPr="0047127A">
        <w:t>”</w:t>
      </w:r>
      <w:r w:rsidR="00E94BE4" w:rsidRPr="0047127A">
        <w:t xml:space="preserve">  </w:t>
      </w:r>
      <w:r w:rsidR="003804C2" w:rsidRPr="0047127A">
        <w:lastRenderedPageBreak/>
        <w:t>(Stats. 1927, ch. 611, §</w:t>
      </w:r>
      <w:r w:rsidR="00890E0D" w:rsidRPr="0047127A">
        <w:t> </w:t>
      </w:r>
      <w:r w:rsidR="003804C2" w:rsidRPr="0047127A">
        <w:t>1, p. 1042</w:t>
      </w:r>
      <w:r w:rsidR="00C2577C" w:rsidRPr="0047127A">
        <w:t>, italics added</w:t>
      </w:r>
      <w:r w:rsidR="003804C2" w:rsidRPr="0047127A">
        <w:t xml:space="preserve">.)  </w:t>
      </w:r>
      <w:r w:rsidR="00D70AA6">
        <w:t>Importantly, n</w:t>
      </w:r>
      <w:r w:rsidR="000409CB" w:rsidRPr="0047127A">
        <w:t xml:space="preserve">othing </w:t>
      </w:r>
      <w:r w:rsidR="00C2577C" w:rsidRPr="0047127A">
        <w:t xml:space="preserve">in the </w:t>
      </w:r>
      <w:r w:rsidR="006205ED" w:rsidRPr="0047127A">
        <w:t xml:space="preserve">pre-1951 version of the </w:t>
      </w:r>
      <w:r w:rsidR="00C2577C" w:rsidRPr="0047127A">
        <w:t xml:space="preserve">statute </w:t>
      </w:r>
      <w:r w:rsidR="00DC6792" w:rsidRPr="0047127A">
        <w:t xml:space="preserve">suggested </w:t>
      </w:r>
      <w:r w:rsidR="000409CB" w:rsidRPr="0047127A">
        <w:t xml:space="preserve">that </w:t>
      </w:r>
      <w:r w:rsidR="00C2577C" w:rsidRPr="0047127A">
        <w:t>th</w:t>
      </w:r>
      <w:r w:rsidR="006205ED" w:rsidRPr="0047127A">
        <w:t>e</w:t>
      </w:r>
      <w:r w:rsidR="00C2577C" w:rsidRPr="0047127A">
        <w:t xml:space="preserve"> joinder </w:t>
      </w:r>
      <w:r w:rsidR="007A3CE8" w:rsidRPr="0047127A">
        <w:t xml:space="preserve">of related felony offenses in a single information </w:t>
      </w:r>
      <w:r w:rsidR="000409CB" w:rsidRPr="0047127A">
        <w:t xml:space="preserve">was only permitted if the offenses had already been joined </w:t>
      </w:r>
      <w:r w:rsidR="00561E3A" w:rsidRPr="0047127A">
        <w:t>in</w:t>
      </w:r>
      <w:r w:rsidR="00183EB4" w:rsidRPr="0047127A">
        <w:t xml:space="preserve"> </w:t>
      </w:r>
      <w:r w:rsidR="006205ED" w:rsidRPr="0047127A">
        <w:t xml:space="preserve">magistrate </w:t>
      </w:r>
      <w:r w:rsidR="009C071A" w:rsidRPr="0047127A">
        <w:t>proceedings</w:t>
      </w:r>
      <w:r w:rsidR="009F59EB" w:rsidRPr="0047127A">
        <w:t xml:space="preserve">.  </w:t>
      </w:r>
      <w:r w:rsidR="007C6AEA" w:rsidRPr="0047127A">
        <w:t xml:space="preserve">Indeed, </w:t>
      </w:r>
      <w:r w:rsidR="00DC6792" w:rsidRPr="0047127A">
        <w:t xml:space="preserve">such a limitation would </w:t>
      </w:r>
      <w:r w:rsidR="0087510A" w:rsidRPr="0047127A">
        <w:t xml:space="preserve">have </w:t>
      </w:r>
      <w:r w:rsidR="00DC6792" w:rsidRPr="0047127A">
        <w:t>ma</w:t>
      </w:r>
      <w:r w:rsidR="0087510A" w:rsidRPr="0047127A">
        <w:t>d</w:t>
      </w:r>
      <w:r w:rsidR="00DC6792" w:rsidRPr="0047127A">
        <w:t xml:space="preserve">e no sense </w:t>
      </w:r>
      <w:r w:rsidR="007C6AEA" w:rsidRPr="0047127A">
        <w:t xml:space="preserve">since </w:t>
      </w:r>
      <w:r w:rsidR="00E94BE4" w:rsidRPr="0047127A">
        <w:t xml:space="preserve">magistrate proceedings </w:t>
      </w:r>
      <w:r w:rsidR="006205ED" w:rsidRPr="0047127A">
        <w:t xml:space="preserve">were </w:t>
      </w:r>
      <w:r w:rsidR="00E4230D" w:rsidRPr="0047127A">
        <w:t xml:space="preserve">not </w:t>
      </w:r>
      <w:r w:rsidR="006205ED" w:rsidRPr="0047127A">
        <w:t>(and are</w:t>
      </w:r>
      <w:r w:rsidR="00E4230D" w:rsidRPr="0047127A">
        <w:t xml:space="preserve"> not</w:t>
      </w:r>
      <w:r w:rsidR="006205ED" w:rsidRPr="0047127A">
        <w:t>)</w:t>
      </w:r>
      <w:r w:rsidR="00E94BE4" w:rsidRPr="0047127A">
        <w:t xml:space="preserve"> court proceedings, and section 954 </w:t>
      </w:r>
      <w:r w:rsidR="00EC358C">
        <w:t>originally dealt only w</w:t>
      </w:r>
      <w:r w:rsidR="004A366E" w:rsidRPr="0047127A">
        <w:t xml:space="preserve">ith pleadings filed </w:t>
      </w:r>
      <w:r w:rsidR="00E94BE4" w:rsidRPr="0047127A">
        <w:t xml:space="preserve">in </w:t>
      </w:r>
      <w:r w:rsidR="006205ED" w:rsidRPr="0047127A">
        <w:t xml:space="preserve">a </w:t>
      </w:r>
      <w:r w:rsidR="00E94BE4" w:rsidRPr="0047127A">
        <w:t>court</w:t>
      </w:r>
      <w:r w:rsidR="004A366E" w:rsidRPr="0047127A">
        <w:t>.</w:t>
      </w:r>
      <w:r w:rsidR="00EB62FA" w:rsidRPr="0047127A">
        <w:rPr>
          <w:rStyle w:val="FootnoteReference"/>
        </w:rPr>
        <w:footnoteReference w:id="13"/>
      </w:r>
      <w:r w:rsidR="004A366E" w:rsidRPr="0047127A">
        <w:t xml:space="preserve">  </w:t>
      </w:r>
      <w:r w:rsidR="00EB62FA" w:rsidRPr="0047127A">
        <w:t xml:space="preserve">Moreover, </w:t>
      </w:r>
      <w:r w:rsidRPr="0047127A">
        <w:t xml:space="preserve">prior to 1972, </w:t>
      </w:r>
      <w:r w:rsidR="00EB62FA" w:rsidRPr="0047127A">
        <w:t xml:space="preserve">magistrate proceedings </w:t>
      </w:r>
      <w:r w:rsidR="007A3CE8" w:rsidRPr="0047127A">
        <w:t xml:space="preserve">could be </w:t>
      </w:r>
      <w:r w:rsidR="00561E3A" w:rsidRPr="0047127A">
        <w:t>initiated by a private party acting without the concurrence of the district attorney</w:t>
      </w:r>
      <w:r w:rsidR="00EB62FA" w:rsidRPr="0047127A">
        <w:t>.  I</w:t>
      </w:r>
      <w:r w:rsidR="007C6AEA" w:rsidRPr="0047127A">
        <w:t xml:space="preserve">f multiple </w:t>
      </w:r>
      <w:r w:rsidR="00561E3A" w:rsidRPr="0047127A">
        <w:t xml:space="preserve">crime </w:t>
      </w:r>
      <w:r w:rsidR="007C6AEA" w:rsidRPr="0047127A">
        <w:t xml:space="preserve">victims filed multiple </w:t>
      </w:r>
      <w:r w:rsidR="00A76E6A" w:rsidRPr="0047127A">
        <w:t xml:space="preserve">felony </w:t>
      </w:r>
      <w:r w:rsidR="007C6AEA" w:rsidRPr="0047127A">
        <w:t xml:space="preserve">complaints alleging related offenses, the district attorney’s only opportunity to exercise his or her </w:t>
      </w:r>
      <w:r w:rsidR="00E4230D" w:rsidRPr="0047127A">
        <w:t xml:space="preserve">express </w:t>
      </w:r>
      <w:r w:rsidR="00EB62FA" w:rsidRPr="0047127A">
        <w:t xml:space="preserve">right </w:t>
      </w:r>
      <w:r w:rsidR="007C6AEA" w:rsidRPr="0047127A">
        <w:t xml:space="preserve">to join those offenses was when </w:t>
      </w:r>
      <w:r w:rsidR="00EB62FA" w:rsidRPr="0047127A">
        <w:t xml:space="preserve">filing </w:t>
      </w:r>
      <w:r w:rsidR="007C6AEA" w:rsidRPr="0047127A">
        <w:t>the information.</w:t>
      </w:r>
    </w:p>
    <w:p w14:paraId="6D6F795E" w14:textId="4E7A7428" w:rsidR="00A76E6A" w:rsidRPr="0047127A" w:rsidRDefault="009F4FBF" w:rsidP="0047127A">
      <w:pPr>
        <w:tabs>
          <w:tab w:val="left" w:pos="1440"/>
        </w:tabs>
        <w:ind w:firstLine="720"/>
      </w:pPr>
      <w:r>
        <w:t xml:space="preserve">Notably, </w:t>
      </w:r>
      <w:r w:rsidR="00E4230D" w:rsidRPr="0047127A">
        <w:t xml:space="preserve">section 954 made clear that </w:t>
      </w:r>
      <w:r w:rsidR="00C706C6" w:rsidRPr="0047127A">
        <w:t>if</w:t>
      </w:r>
      <w:r w:rsidR="00EB62FA" w:rsidRPr="0047127A">
        <w:t xml:space="preserve"> </w:t>
      </w:r>
      <w:r w:rsidR="009F59EB" w:rsidRPr="0047127A">
        <w:t xml:space="preserve">the district attorney filed </w:t>
      </w:r>
      <w:r w:rsidR="00C706C6" w:rsidRPr="0047127A">
        <w:t xml:space="preserve">multiple </w:t>
      </w:r>
      <w:r w:rsidR="007A3CE8" w:rsidRPr="0047127A">
        <w:t>informations</w:t>
      </w:r>
      <w:r w:rsidR="00EB62FA" w:rsidRPr="0047127A">
        <w:t xml:space="preserve"> alleging related offenses</w:t>
      </w:r>
      <w:r w:rsidR="00C706C6" w:rsidRPr="0047127A">
        <w:t>,</w:t>
      </w:r>
      <w:bookmarkStart w:id="10" w:name="_Hlk56869836"/>
      <w:r w:rsidR="00C706C6" w:rsidRPr="0047127A">
        <w:t xml:space="preserve"> </w:t>
      </w:r>
      <w:r w:rsidR="003F6901" w:rsidRPr="0047127A">
        <w:lastRenderedPageBreak/>
        <w:t xml:space="preserve">court action </w:t>
      </w:r>
      <w:r w:rsidR="00AA0353" w:rsidRPr="0047127A">
        <w:t xml:space="preserve">was required </w:t>
      </w:r>
      <w:r w:rsidR="00EB62FA" w:rsidRPr="0047127A">
        <w:t xml:space="preserve">to </w:t>
      </w:r>
      <w:r w:rsidR="008C75AB" w:rsidRPr="0047127A">
        <w:t>consolidate them</w:t>
      </w:r>
      <w:r w:rsidR="009F59EB" w:rsidRPr="0047127A">
        <w:t>.</w:t>
      </w:r>
      <w:r w:rsidR="00664597">
        <w:rPr>
          <w:rStyle w:val="FootnoteReference"/>
        </w:rPr>
        <w:footnoteReference w:id="14"/>
      </w:r>
      <w:r w:rsidR="009F59EB" w:rsidRPr="0047127A">
        <w:t xml:space="preserve">  </w:t>
      </w:r>
      <w:r w:rsidR="006460C4" w:rsidRPr="0047127A">
        <w:t>Th</w:t>
      </w:r>
      <w:r w:rsidR="003F6901" w:rsidRPr="0047127A">
        <w:t>is</w:t>
      </w:r>
      <w:r w:rsidR="007A3CE8" w:rsidRPr="0047127A">
        <w:t xml:space="preserve"> requirement wa</w:t>
      </w:r>
      <w:r w:rsidR="00355484" w:rsidRPr="0047127A">
        <w:t>s</w:t>
      </w:r>
      <w:r w:rsidR="007A3CE8" w:rsidRPr="0047127A">
        <w:t xml:space="preserve"> </w:t>
      </w:r>
      <w:r w:rsidR="00355484" w:rsidRPr="0047127A">
        <w:t xml:space="preserve">not inconsistent with the district attorney’s </w:t>
      </w:r>
      <w:r w:rsidR="007A3CE8" w:rsidRPr="0047127A">
        <w:t>unilateral authority to join related offenses in a single pleading</w:t>
      </w:r>
      <w:r w:rsidR="00D3389D">
        <w:t>,</w:t>
      </w:r>
      <w:r w:rsidR="007A3CE8" w:rsidRPr="0047127A">
        <w:t xml:space="preserve"> </w:t>
      </w:r>
      <w:r w:rsidR="006460C4" w:rsidRPr="0047127A">
        <w:t xml:space="preserve">because once </w:t>
      </w:r>
      <w:r w:rsidR="00355484" w:rsidRPr="0047127A">
        <w:t xml:space="preserve">multiple </w:t>
      </w:r>
      <w:r w:rsidR="006460C4" w:rsidRPr="0047127A">
        <w:t xml:space="preserve">pleadings are pending </w:t>
      </w:r>
      <w:r w:rsidR="00E4230D" w:rsidRPr="0047127A">
        <w:t xml:space="preserve">before </w:t>
      </w:r>
      <w:r w:rsidR="006460C4" w:rsidRPr="0047127A">
        <w:t>a court, the court</w:t>
      </w:r>
      <w:r w:rsidR="00E4230D" w:rsidRPr="0047127A">
        <w:t xml:space="preserve"> has an </w:t>
      </w:r>
      <w:r w:rsidR="006460C4" w:rsidRPr="0047127A">
        <w:t xml:space="preserve">interest in controlling its own docket.  </w:t>
      </w:r>
      <w:r w:rsidR="002C6038" w:rsidRPr="0047127A">
        <w:t xml:space="preserve">But </w:t>
      </w:r>
      <w:r w:rsidR="001A2B12" w:rsidRPr="0047127A">
        <w:t xml:space="preserve">the </w:t>
      </w:r>
      <w:r w:rsidR="0087510A" w:rsidRPr="0047127A">
        <w:t xml:space="preserve">pre-1951 version of </w:t>
      </w:r>
      <w:r w:rsidR="006460C4" w:rsidRPr="0047127A">
        <w:t xml:space="preserve">section 954 </w:t>
      </w:r>
      <w:r w:rsidR="00C706C6" w:rsidRPr="0047127A">
        <w:t>only a</w:t>
      </w:r>
      <w:r w:rsidR="008C75AB" w:rsidRPr="0047127A">
        <w:t xml:space="preserve">uthorized </w:t>
      </w:r>
      <w:r w:rsidR="00E4230D" w:rsidRPr="0047127A">
        <w:t xml:space="preserve">court </w:t>
      </w:r>
      <w:r w:rsidR="00C706C6" w:rsidRPr="0047127A">
        <w:t>consolidat</w:t>
      </w:r>
      <w:r w:rsidR="008C75AB" w:rsidRPr="0047127A">
        <w:t xml:space="preserve">ion of </w:t>
      </w:r>
      <w:r w:rsidR="00DE5B0C" w:rsidRPr="0047127A">
        <w:t xml:space="preserve">“two or more </w:t>
      </w:r>
      <w:r w:rsidR="00C706C6" w:rsidRPr="0047127A">
        <w:t xml:space="preserve">indictments </w:t>
      </w:r>
      <w:r w:rsidR="00DE5B0C" w:rsidRPr="0047127A">
        <w:t xml:space="preserve">or </w:t>
      </w:r>
      <w:r w:rsidR="00C706C6" w:rsidRPr="0047127A">
        <w:t>informations</w:t>
      </w:r>
      <w:r w:rsidR="00660C59" w:rsidRPr="0047127A">
        <w:t>,</w:t>
      </w:r>
      <w:r w:rsidR="00DE5B0C" w:rsidRPr="0047127A">
        <w:t>”</w:t>
      </w:r>
      <w:r w:rsidR="00660C59" w:rsidRPr="0047127A">
        <w:t xml:space="preserve"> not </w:t>
      </w:r>
      <w:r w:rsidR="00DE5B0C" w:rsidRPr="0047127A">
        <w:t xml:space="preserve">two or more </w:t>
      </w:r>
      <w:r w:rsidR="00660C59" w:rsidRPr="0047127A">
        <w:t>complaints</w:t>
      </w:r>
      <w:bookmarkEnd w:id="10"/>
      <w:r w:rsidR="00C706C6" w:rsidRPr="0047127A">
        <w:t>.</w:t>
      </w:r>
      <w:r w:rsidR="006460C4" w:rsidRPr="0047127A">
        <w:t xml:space="preserve">  To understand the latter limitation, </w:t>
      </w:r>
      <w:r w:rsidR="00A76E6A" w:rsidRPr="0047127A">
        <w:t xml:space="preserve">it is necessary </w:t>
      </w:r>
      <w:r w:rsidR="00355484" w:rsidRPr="0047127A">
        <w:t xml:space="preserve">to consider </w:t>
      </w:r>
      <w:r w:rsidR="00A76E6A" w:rsidRPr="0047127A">
        <w:t xml:space="preserve">the structure of the California criminal courts </w:t>
      </w:r>
      <w:r w:rsidR="002C6038" w:rsidRPr="0047127A">
        <w:t>before</w:t>
      </w:r>
      <w:r w:rsidR="00A76E6A" w:rsidRPr="0047127A">
        <w:t xml:space="preserve"> court unification.</w:t>
      </w:r>
      <w:r w:rsidR="00AA0353" w:rsidRPr="0047127A">
        <w:t xml:space="preserve">  At that time</w:t>
      </w:r>
      <w:r w:rsidR="00A76E6A" w:rsidRPr="0047127A">
        <w:t>, misdemeanors and infractions were, with few exceptions, prosecuted by complaint filed in the municipal court (former § 740, Stats. 1951, ch. 1674, § 6, p. 3831; former § 1462, Stats. 1976, ch. 1288, § 21, p. 5765),</w:t>
      </w:r>
      <w:r w:rsidR="003F6901" w:rsidRPr="0047127A">
        <w:t xml:space="preserve"> whereas </w:t>
      </w:r>
      <w:r w:rsidR="00A76E6A" w:rsidRPr="0047127A">
        <w:t xml:space="preserve">felonies were prosecuted by indictment or information filed in the superior court (former § 737, Stats. 1987, ch. 828, § 49, p. 2593).  (See </w:t>
      </w:r>
      <w:r w:rsidR="00A76E6A" w:rsidRPr="0047127A">
        <w:rPr>
          <w:i/>
          <w:iCs/>
        </w:rPr>
        <w:t>People v. Frederickson</w:t>
      </w:r>
      <w:r w:rsidR="00A76E6A" w:rsidRPr="0047127A">
        <w:t xml:space="preserve"> (2020) 8 Cal.5th 963, 994</w:t>
      </w:r>
      <w:r w:rsidR="002C6038" w:rsidRPr="0047127A">
        <w:t>;</w:t>
      </w:r>
      <w:r w:rsidR="00A76E6A" w:rsidRPr="0047127A">
        <w:t xml:space="preserve"> </w:t>
      </w:r>
      <w:r w:rsidR="00A76E6A" w:rsidRPr="0047127A">
        <w:rPr>
          <w:i/>
          <w:iCs/>
        </w:rPr>
        <w:t>In re McKinney</w:t>
      </w:r>
      <w:r w:rsidR="00A76E6A" w:rsidRPr="0047127A">
        <w:t xml:space="preserve"> (1968) 70 Cal.2d 8, 13.)  </w:t>
      </w:r>
      <w:r w:rsidR="00AA0353" w:rsidRPr="0047127A">
        <w:t>Therefore, b</w:t>
      </w:r>
      <w:r w:rsidR="00152DD2" w:rsidRPr="0047127A">
        <w:t xml:space="preserve">ecause </w:t>
      </w:r>
      <w:r w:rsidR="00C9741D" w:rsidRPr="0047127A">
        <w:t xml:space="preserve">the pre-1951 version of section 954 </w:t>
      </w:r>
      <w:r w:rsidR="00152DD2" w:rsidRPr="0047127A">
        <w:t xml:space="preserve">only authorized the </w:t>
      </w:r>
      <w:r w:rsidR="00152DD2" w:rsidRPr="0047127A">
        <w:lastRenderedPageBreak/>
        <w:t xml:space="preserve">consolidation of “two or more indictments or informations,” </w:t>
      </w:r>
      <w:r w:rsidR="004C3669" w:rsidRPr="0047127A">
        <w:t xml:space="preserve">the statute did not give </w:t>
      </w:r>
      <w:r w:rsidR="00C9741D" w:rsidRPr="0047127A">
        <w:t xml:space="preserve">the municipal court </w:t>
      </w:r>
      <w:r w:rsidR="004C3669" w:rsidRPr="0047127A">
        <w:t>any e</w:t>
      </w:r>
      <w:r w:rsidR="00C9741D" w:rsidRPr="0047127A">
        <w:t xml:space="preserve">xpress authority to consolidate </w:t>
      </w:r>
      <w:r w:rsidR="004C3669" w:rsidRPr="0047127A">
        <w:t>pleadings</w:t>
      </w:r>
      <w:r w:rsidR="00C9741D" w:rsidRPr="0047127A">
        <w:t>.</w:t>
      </w:r>
    </w:p>
    <w:p w14:paraId="6208455B" w14:textId="0CE68FDD" w:rsidR="00F43E4C" w:rsidRPr="0047127A" w:rsidRDefault="006460C4" w:rsidP="0047127A">
      <w:pPr>
        <w:tabs>
          <w:tab w:val="left" w:pos="1440"/>
        </w:tabs>
        <w:ind w:firstLine="720"/>
      </w:pPr>
      <w:r w:rsidRPr="0047127A">
        <w:t>In 1951, section 954 was amended to assume its present form</w:t>
      </w:r>
      <w:r w:rsidR="00A76E6A" w:rsidRPr="0047127A">
        <w:t>.</w:t>
      </w:r>
      <w:r w:rsidRPr="0047127A">
        <w:t xml:space="preserve">  </w:t>
      </w:r>
      <w:r w:rsidR="00660C59" w:rsidRPr="0047127A">
        <w:t>The</w:t>
      </w:r>
      <w:r w:rsidR="003F6901" w:rsidRPr="0047127A">
        <w:t xml:space="preserve"> </w:t>
      </w:r>
      <w:r w:rsidR="00660C59" w:rsidRPr="0047127A">
        <w:t xml:space="preserve">sentence </w:t>
      </w:r>
      <w:r w:rsidR="003F6901" w:rsidRPr="0047127A">
        <w:t xml:space="preserve">discussed above </w:t>
      </w:r>
      <w:r w:rsidR="0050773C" w:rsidRPr="0047127A">
        <w:t xml:space="preserve">was amended </w:t>
      </w:r>
      <w:r w:rsidR="003F6901" w:rsidRPr="0047127A">
        <w:t xml:space="preserve">to read:  </w:t>
      </w:r>
      <w:r w:rsidR="00781D1F" w:rsidRPr="0047127A">
        <w:t>“An</w:t>
      </w:r>
      <w:bookmarkStart w:id="11" w:name="_Hlk57368803"/>
      <w:r w:rsidR="00781D1F" w:rsidRPr="0047127A">
        <w:t xml:space="preserve"> </w:t>
      </w:r>
      <w:r w:rsidR="003804C2" w:rsidRPr="0047127A">
        <w:rPr>
          <w:strike/>
        </w:rPr>
        <w:t xml:space="preserve">indictment, information, or complaint </w:t>
      </w:r>
      <w:bookmarkEnd w:id="11"/>
      <w:r w:rsidR="00781D1F" w:rsidRPr="0047127A">
        <w:rPr>
          <w:u w:val="single"/>
        </w:rPr>
        <w:t xml:space="preserve">accusatory pleading </w:t>
      </w:r>
      <w:r w:rsidR="00781D1F" w:rsidRPr="0047127A">
        <w:t>may charge</w:t>
      </w:r>
      <w:r w:rsidR="008C3A15" w:rsidRPr="0047127A">
        <w:t xml:space="preserve"> two or more different offenses connected together in their commission . . . or two or more different offenses of the same class </w:t>
      </w:r>
      <w:r w:rsidR="00781D1F" w:rsidRPr="0047127A">
        <w:t xml:space="preserve">of crimes or offenses, under separate counts, and if two or more </w:t>
      </w:r>
      <w:r w:rsidR="003804C2" w:rsidRPr="0047127A">
        <w:rPr>
          <w:strike/>
        </w:rPr>
        <w:t xml:space="preserve">indictments or informations </w:t>
      </w:r>
      <w:r w:rsidR="00781D1F" w:rsidRPr="0047127A">
        <w:rPr>
          <w:u w:val="single"/>
        </w:rPr>
        <w:t xml:space="preserve">accusatory pleadings </w:t>
      </w:r>
      <w:r w:rsidR="00781D1F" w:rsidRPr="0047127A">
        <w:t>are filed in such cases</w:t>
      </w:r>
      <w:r w:rsidR="00781D1F" w:rsidRPr="0047127A">
        <w:rPr>
          <w:u w:val="single"/>
        </w:rPr>
        <w:t xml:space="preserve"> in the same court,</w:t>
      </w:r>
      <w:r w:rsidR="00781D1F" w:rsidRPr="0047127A">
        <w:t xml:space="preserve"> the court may order them to be consolidated</w:t>
      </w:r>
      <w:bookmarkStart w:id="12" w:name="_Hlk57368605"/>
      <w:r w:rsidR="00781D1F" w:rsidRPr="0047127A">
        <w:t>.”</w:t>
      </w:r>
      <w:r w:rsidR="00C706C6" w:rsidRPr="0047127A">
        <w:t xml:space="preserve">  </w:t>
      </w:r>
      <w:bookmarkStart w:id="13" w:name="_Hlk57368669"/>
      <w:r w:rsidR="00C706C6" w:rsidRPr="0047127A">
        <w:t xml:space="preserve">(§ 954, Stats. 1951, ch. 1674, § 45, p. 3836.)  </w:t>
      </w:r>
      <w:r w:rsidR="00CE6B99" w:rsidRPr="0047127A">
        <w:t>As is readily apparent, t</w:t>
      </w:r>
      <w:r w:rsidR="00660C59" w:rsidRPr="0047127A">
        <w:t xml:space="preserve">he </w:t>
      </w:r>
      <w:r w:rsidR="00831BED" w:rsidRPr="0047127A">
        <w:t xml:space="preserve">generic term </w:t>
      </w:r>
      <w:r w:rsidR="00660C59" w:rsidRPr="0047127A">
        <w:t>“accusatory pleading” w</w:t>
      </w:r>
      <w:r w:rsidR="00831BED" w:rsidRPr="0047127A">
        <w:t xml:space="preserve">as </w:t>
      </w:r>
      <w:r w:rsidR="00660C59" w:rsidRPr="0047127A">
        <w:t xml:space="preserve">substituted </w:t>
      </w:r>
      <w:r w:rsidR="00831BED" w:rsidRPr="0047127A">
        <w:t xml:space="preserve">for </w:t>
      </w:r>
      <w:r w:rsidR="00660C59" w:rsidRPr="0047127A">
        <w:t xml:space="preserve">the </w:t>
      </w:r>
      <w:r w:rsidR="003934D5" w:rsidRPr="0047127A">
        <w:t xml:space="preserve">specific </w:t>
      </w:r>
      <w:r w:rsidR="00660C59" w:rsidRPr="0047127A">
        <w:t>types of pleading</w:t>
      </w:r>
      <w:r w:rsidR="005263A5" w:rsidRPr="0047127A">
        <w:t>s</w:t>
      </w:r>
      <w:r w:rsidR="00660C59" w:rsidRPr="0047127A">
        <w:t xml:space="preserve"> </w:t>
      </w:r>
      <w:r w:rsidR="008C75AB" w:rsidRPr="0047127A">
        <w:t xml:space="preserve">that the prior version of the statute had </w:t>
      </w:r>
      <w:r w:rsidR="003934D5" w:rsidRPr="0047127A">
        <w:t>named</w:t>
      </w:r>
      <w:r w:rsidR="00660C59" w:rsidRPr="0047127A">
        <w:t>,</w:t>
      </w:r>
      <w:bookmarkEnd w:id="13"/>
      <w:r w:rsidR="00660C59" w:rsidRPr="0047127A">
        <w:t xml:space="preserve"> </w:t>
      </w:r>
      <w:bookmarkEnd w:id="12"/>
      <w:r w:rsidR="00660C59" w:rsidRPr="0047127A">
        <w:t xml:space="preserve">but </w:t>
      </w:r>
      <w:r w:rsidR="00947F5B" w:rsidRPr="0047127A">
        <w:t xml:space="preserve">the </w:t>
      </w:r>
      <w:r w:rsidR="00660C59" w:rsidRPr="0047127A">
        <w:t xml:space="preserve">use of </w:t>
      </w:r>
      <w:r w:rsidR="0050773C" w:rsidRPr="0047127A">
        <w:t xml:space="preserve">that </w:t>
      </w:r>
      <w:r w:rsidR="00947F5B" w:rsidRPr="0047127A">
        <w:t>generic term</w:t>
      </w:r>
      <w:r w:rsidR="00DB4D70" w:rsidRPr="0047127A">
        <w:t xml:space="preserve"> — a term </w:t>
      </w:r>
      <w:r w:rsidR="00982D9E" w:rsidRPr="0047127A">
        <w:t>that</w:t>
      </w:r>
      <w:r w:rsidR="00DB4D70" w:rsidRPr="0047127A">
        <w:t xml:space="preserve"> include</w:t>
      </w:r>
      <w:r w:rsidR="003934D5" w:rsidRPr="0047127A">
        <w:t>s</w:t>
      </w:r>
      <w:r w:rsidR="00DB4D70" w:rsidRPr="0047127A">
        <w:t xml:space="preserve"> misdemeanor complaints</w:t>
      </w:r>
      <w:r w:rsidR="00B032EA" w:rsidRPr="0047127A">
        <w:t> </w:t>
      </w:r>
      <w:r w:rsidR="00DB4D70" w:rsidRPr="0047127A">
        <w:t>—</w:t>
      </w:r>
      <w:r w:rsidR="00947F5B" w:rsidRPr="0047127A">
        <w:t xml:space="preserve"> </w:t>
      </w:r>
      <w:r w:rsidR="00660C59" w:rsidRPr="0047127A">
        <w:t>meant that</w:t>
      </w:r>
      <w:r w:rsidR="00CE6B99" w:rsidRPr="0047127A">
        <w:t xml:space="preserve">, as </w:t>
      </w:r>
      <w:r w:rsidR="005E2C0D" w:rsidRPr="0047127A">
        <w:t xml:space="preserve">a </w:t>
      </w:r>
      <w:r w:rsidR="00376889" w:rsidRPr="0047127A">
        <w:t>result</w:t>
      </w:r>
      <w:r w:rsidR="005E2C0D" w:rsidRPr="0047127A">
        <w:t xml:space="preserve"> of </w:t>
      </w:r>
      <w:r w:rsidR="00CE6B99" w:rsidRPr="0047127A">
        <w:t>the 1951 amendment,</w:t>
      </w:r>
      <w:r w:rsidR="00660C59" w:rsidRPr="0047127A">
        <w:t xml:space="preserve"> </w:t>
      </w:r>
      <w:r w:rsidR="004C3669" w:rsidRPr="0047127A">
        <w:t xml:space="preserve">section 954 </w:t>
      </w:r>
      <w:r w:rsidR="00960A72" w:rsidRPr="0047127A">
        <w:t xml:space="preserve">expressly </w:t>
      </w:r>
      <w:r w:rsidR="00B032EA" w:rsidRPr="0047127A">
        <w:t xml:space="preserve">granted </w:t>
      </w:r>
      <w:r w:rsidR="00780AEB" w:rsidRPr="0047127A">
        <w:t xml:space="preserve">municipal </w:t>
      </w:r>
      <w:r w:rsidR="00CE6B99" w:rsidRPr="0047127A">
        <w:t>courts</w:t>
      </w:r>
      <w:r w:rsidR="00B032EA" w:rsidRPr="0047127A">
        <w:t xml:space="preserve"> the power to </w:t>
      </w:r>
      <w:r w:rsidR="00660C59" w:rsidRPr="0047127A">
        <w:t xml:space="preserve">consolidate </w:t>
      </w:r>
      <w:r w:rsidR="00CE6B99" w:rsidRPr="0047127A">
        <w:t>pleadings.</w:t>
      </w:r>
      <w:r w:rsidR="00320198" w:rsidRPr="0047127A">
        <w:t xml:space="preserve">  </w:t>
      </w:r>
      <w:r w:rsidR="00EE3DEF" w:rsidRPr="0047127A">
        <w:t xml:space="preserve">That new rule was consistent with the </w:t>
      </w:r>
      <w:r w:rsidR="00320198" w:rsidRPr="0047127A">
        <w:t xml:space="preserve">general </w:t>
      </w:r>
      <w:r w:rsidR="00EE3DEF" w:rsidRPr="0047127A">
        <w:t xml:space="preserve">purpose of the 1951 amendment, which was </w:t>
      </w:r>
      <w:r w:rsidR="0059756F" w:rsidRPr="0047127A">
        <w:t xml:space="preserve">to make </w:t>
      </w:r>
      <w:r w:rsidR="00320198" w:rsidRPr="0047127A">
        <w:t xml:space="preserve">the </w:t>
      </w:r>
      <w:r w:rsidR="00EE3DEF" w:rsidRPr="0047127A">
        <w:t xml:space="preserve">same criminal procedures </w:t>
      </w:r>
      <w:r w:rsidR="0059756F" w:rsidRPr="0047127A">
        <w:t xml:space="preserve">applicable </w:t>
      </w:r>
      <w:r w:rsidR="00263D19" w:rsidRPr="0047127A">
        <w:t xml:space="preserve">at </w:t>
      </w:r>
      <w:r w:rsidR="00EE3DEF" w:rsidRPr="0047127A">
        <w:t>all court</w:t>
      </w:r>
      <w:r w:rsidR="00263D19" w:rsidRPr="0047127A">
        <w:t xml:space="preserve"> level</w:t>
      </w:r>
      <w:r w:rsidR="00EE3DEF" w:rsidRPr="0047127A">
        <w:t>s.  (</w:t>
      </w:r>
      <w:r w:rsidR="0053659D" w:rsidRPr="00EE4AFD">
        <w:t>See Legis. Counsel</w:t>
      </w:r>
      <w:r w:rsidR="00EE4AFD">
        <w:t>,</w:t>
      </w:r>
      <w:r w:rsidR="0053659D" w:rsidRPr="00EE4AFD">
        <w:t xml:space="preserve"> Rep</w:t>
      </w:r>
      <w:r w:rsidR="00EE4AFD">
        <w:t>.</w:t>
      </w:r>
      <w:r w:rsidR="0053659D" w:rsidRPr="00EE4AFD">
        <w:t xml:space="preserve"> on Sen. Bill No. 543</w:t>
      </w:r>
      <w:r w:rsidR="0019612E" w:rsidRPr="00EE4AFD">
        <w:t xml:space="preserve"> </w:t>
      </w:r>
      <w:r w:rsidR="0053659D" w:rsidRPr="00EE4AFD">
        <w:t>(1951 Reg. Sess.)</w:t>
      </w:r>
      <w:r w:rsidR="00EE4AFD">
        <w:t xml:space="preserve"> </w:t>
      </w:r>
      <w:r w:rsidR="00EE4AFD" w:rsidRPr="00EE4AFD">
        <w:t>July 12, 1951</w:t>
      </w:r>
      <w:r w:rsidR="002E21CB" w:rsidRPr="00EE4AFD">
        <w:t>, p. 12</w:t>
      </w:r>
      <w:r w:rsidR="0053659D" w:rsidRPr="0047127A">
        <w:t>.</w:t>
      </w:r>
      <w:r w:rsidR="00EE3DEF" w:rsidRPr="0047127A">
        <w:t>)</w:t>
      </w:r>
    </w:p>
    <w:p w14:paraId="71C7D529" w14:textId="4D2FED5D" w:rsidR="00282C6C" w:rsidRPr="0047127A" w:rsidRDefault="00162224" w:rsidP="0047127A">
      <w:pPr>
        <w:tabs>
          <w:tab w:val="left" w:pos="1440"/>
        </w:tabs>
        <w:ind w:firstLine="720"/>
      </w:pPr>
      <w:r>
        <w:t>In addition</w:t>
      </w:r>
      <w:r w:rsidR="009538B8" w:rsidRPr="0047127A">
        <w:t>,</w:t>
      </w:r>
      <w:r w:rsidR="007E32EF" w:rsidRPr="0047127A">
        <w:t xml:space="preserve"> </w:t>
      </w:r>
      <w:r w:rsidR="000B3908" w:rsidRPr="0047127A">
        <w:t xml:space="preserve">to maintain </w:t>
      </w:r>
      <w:r w:rsidR="005E2C0D" w:rsidRPr="0047127A">
        <w:t xml:space="preserve">the strict separation </w:t>
      </w:r>
      <w:r w:rsidR="00947F5B" w:rsidRPr="0047127A">
        <w:t xml:space="preserve">of </w:t>
      </w:r>
      <w:r w:rsidR="005E2C0D" w:rsidRPr="0047127A">
        <w:t xml:space="preserve">misdemeanor jurisdiction </w:t>
      </w:r>
      <w:r w:rsidR="00947F5B" w:rsidRPr="0047127A">
        <w:t xml:space="preserve">from </w:t>
      </w:r>
      <w:r w:rsidR="005E2C0D" w:rsidRPr="0047127A">
        <w:t>felony jurisdiction</w:t>
      </w:r>
      <w:r w:rsidR="00F43E4C" w:rsidRPr="0047127A">
        <w:t>,</w:t>
      </w:r>
      <w:r w:rsidR="009C1B1E" w:rsidRPr="0047127A">
        <w:t xml:space="preserve"> </w:t>
      </w:r>
      <w:r w:rsidR="00F46F0A" w:rsidRPr="0047127A">
        <w:t xml:space="preserve">the 1951 amendment to section 954 </w:t>
      </w:r>
      <w:r w:rsidR="00B032EA" w:rsidRPr="0047127A">
        <w:t xml:space="preserve">also </w:t>
      </w:r>
      <w:r w:rsidR="00F46F0A" w:rsidRPr="0047127A">
        <w:t xml:space="preserve">added </w:t>
      </w:r>
      <w:r w:rsidR="00F43E4C" w:rsidRPr="0047127A">
        <w:t>the phrase “in the same court</w:t>
      </w:r>
      <w:r w:rsidR="00320198" w:rsidRPr="0047127A">
        <w:t>.</w:t>
      </w:r>
      <w:r w:rsidR="00F43E4C" w:rsidRPr="0047127A">
        <w:t>”</w:t>
      </w:r>
      <w:r w:rsidR="00F46F0A" w:rsidRPr="0047127A">
        <w:t xml:space="preserve">  </w:t>
      </w:r>
      <w:r w:rsidR="00F43E4C" w:rsidRPr="0047127A">
        <w:t xml:space="preserve">The addition of that phrase meant that </w:t>
      </w:r>
      <w:r w:rsidR="00947F5B" w:rsidRPr="0047127A">
        <w:t>a</w:t>
      </w:r>
      <w:r w:rsidR="00F43E4C" w:rsidRPr="0047127A">
        <w:t xml:space="preserve"> municipal court could consolidate </w:t>
      </w:r>
      <w:r w:rsidR="00F46F0A" w:rsidRPr="0047127A">
        <w:t xml:space="preserve">accusatory </w:t>
      </w:r>
      <w:r w:rsidR="00F43E4C" w:rsidRPr="0047127A">
        <w:t xml:space="preserve">pleadings filed in the municipal court (i.e., </w:t>
      </w:r>
      <w:r w:rsidR="001A481D" w:rsidRPr="0047127A">
        <w:t xml:space="preserve">misdemeanor </w:t>
      </w:r>
      <w:r w:rsidR="00F43E4C" w:rsidRPr="0047127A">
        <w:t xml:space="preserve">complaints), and </w:t>
      </w:r>
      <w:r w:rsidR="00947F5B" w:rsidRPr="0047127A">
        <w:t>a</w:t>
      </w:r>
      <w:r w:rsidR="00F43E4C" w:rsidRPr="0047127A">
        <w:t xml:space="preserve"> superior court could consolidate </w:t>
      </w:r>
      <w:r w:rsidR="00F46F0A" w:rsidRPr="0047127A">
        <w:t xml:space="preserve">accusatory </w:t>
      </w:r>
      <w:r w:rsidR="00F43E4C" w:rsidRPr="0047127A">
        <w:t xml:space="preserve">pleadings filed in the superior court (i.e., indictments and informations), but neither court could consolidate </w:t>
      </w:r>
      <w:r w:rsidR="007E32EF" w:rsidRPr="0047127A">
        <w:t xml:space="preserve">pleadings filed in their respective courts </w:t>
      </w:r>
      <w:r w:rsidR="007E32EF" w:rsidRPr="0047127A">
        <w:lastRenderedPageBreak/>
        <w:t>with those filed in the other</w:t>
      </w:r>
      <w:r w:rsidR="00320198" w:rsidRPr="0047127A">
        <w:t xml:space="preserve">.  </w:t>
      </w:r>
      <w:r w:rsidR="00ED0982" w:rsidRPr="0047127A">
        <w:t xml:space="preserve">Thus, </w:t>
      </w:r>
      <w:r w:rsidR="000D418D" w:rsidRPr="0047127A">
        <w:t xml:space="preserve">the </w:t>
      </w:r>
      <w:r w:rsidR="00F46F0A" w:rsidRPr="0047127A">
        <w:t xml:space="preserve">phrase “in the same court” </w:t>
      </w:r>
      <w:r w:rsidR="000D418D" w:rsidRPr="0047127A">
        <w:t xml:space="preserve">maintained </w:t>
      </w:r>
      <w:r w:rsidR="00F46F0A" w:rsidRPr="0047127A">
        <w:t xml:space="preserve">the </w:t>
      </w:r>
      <w:r w:rsidR="00947F5B" w:rsidRPr="0047127A">
        <w:t xml:space="preserve">jurisdictional </w:t>
      </w:r>
      <w:r w:rsidR="0050773C" w:rsidRPr="0047127A">
        <w:t xml:space="preserve">boundary </w:t>
      </w:r>
      <w:r w:rsidR="00F46F0A" w:rsidRPr="0047127A">
        <w:t>between the superior courts and the inferior courts.</w:t>
      </w:r>
      <w:r w:rsidR="002D511D" w:rsidRPr="0047127A">
        <w:rPr>
          <w:rStyle w:val="FootnoteReference"/>
        </w:rPr>
        <w:footnoteReference w:id="15"/>
      </w:r>
    </w:p>
    <w:p w14:paraId="12793585" w14:textId="271FA81D" w:rsidR="00A352D0" w:rsidRPr="0047127A" w:rsidRDefault="00152976" w:rsidP="0047127A">
      <w:pPr>
        <w:tabs>
          <w:tab w:val="left" w:pos="1440"/>
        </w:tabs>
        <w:ind w:firstLine="720"/>
      </w:pPr>
      <w:r w:rsidRPr="0047127A">
        <w:t xml:space="preserve">These jurisdictional lines began to blur in 1992 (see </w:t>
      </w:r>
      <w:r w:rsidR="002C6038" w:rsidRPr="0047127A">
        <w:rPr>
          <w:i/>
          <w:iCs/>
        </w:rPr>
        <w:t xml:space="preserve">People v. </w:t>
      </w:r>
      <w:r w:rsidRPr="0047127A">
        <w:rPr>
          <w:i/>
          <w:iCs/>
        </w:rPr>
        <w:t>Frederickson</w:t>
      </w:r>
      <w:r w:rsidRPr="0047127A">
        <w:t xml:space="preserve">, </w:t>
      </w:r>
      <w:r w:rsidRPr="0047127A">
        <w:rPr>
          <w:i/>
          <w:iCs/>
        </w:rPr>
        <w:t>supra</w:t>
      </w:r>
      <w:r w:rsidRPr="0047127A">
        <w:t>, 8 Cal.5th at p. 995</w:t>
      </w:r>
      <w:r w:rsidR="005D0147" w:rsidRPr="0047127A">
        <w:t xml:space="preserve"> [describing a 1992 amendment that slightly broadened the jurisdiction of the municipal and superior courts]</w:t>
      </w:r>
      <w:r w:rsidRPr="0047127A">
        <w:t>), and they disappeared altogether by 2002</w:t>
      </w:r>
      <w:r w:rsidR="009538B8" w:rsidRPr="0047127A">
        <w:t>.</w:t>
      </w:r>
      <w:r w:rsidR="00ED0982" w:rsidRPr="0047127A">
        <w:t xml:space="preserve">  </w:t>
      </w:r>
      <w:r w:rsidR="004C3669" w:rsidRPr="0047127A">
        <w:t>In 1994, t</w:t>
      </w:r>
      <w:r w:rsidR="005A59F6" w:rsidRPr="0047127A">
        <w:t xml:space="preserve">he voters eliminated </w:t>
      </w:r>
      <w:r w:rsidR="00944767" w:rsidRPr="0047127A">
        <w:t xml:space="preserve">the </w:t>
      </w:r>
      <w:r w:rsidR="005A59F6" w:rsidRPr="0047127A">
        <w:t>justice courts</w:t>
      </w:r>
      <w:r w:rsidR="004C3669" w:rsidRPr="0047127A">
        <w:t xml:space="preserve"> </w:t>
      </w:r>
      <w:r w:rsidR="005A59F6" w:rsidRPr="0047127A">
        <w:t>by approving Proposition 191</w:t>
      </w:r>
      <w:r w:rsidR="00152DD2" w:rsidRPr="0047127A">
        <w:t>, and t</w:t>
      </w:r>
      <w:r w:rsidR="005A59F6" w:rsidRPr="0047127A">
        <w:t xml:space="preserve">hen </w:t>
      </w:r>
      <w:r w:rsidR="00152DD2" w:rsidRPr="0047127A">
        <w:t>i</w:t>
      </w:r>
      <w:r w:rsidRPr="0047127A">
        <w:t>n 1998, the voters approved Proposition 220, permitting</w:t>
      </w:r>
      <w:r w:rsidR="00152FDA" w:rsidRPr="0047127A">
        <w:t xml:space="preserve"> </w:t>
      </w:r>
      <w:r w:rsidRPr="0047127A">
        <w:t xml:space="preserve">unification of the municipal and superior courts.  The unification of these courts was intended to </w:t>
      </w:r>
      <w:r w:rsidR="009538B8" w:rsidRPr="0047127A">
        <w:t xml:space="preserve">streamline </w:t>
      </w:r>
      <w:r w:rsidR="0060117C" w:rsidRPr="0047127A">
        <w:t xml:space="preserve">court </w:t>
      </w:r>
      <w:r w:rsidR="009538B8" w:rsidRPr="0047127A">
        <w:t>administrat</w:t>
      </w:r>
      <w:r w:rsidR="00B04A73" w:rsidRPr="0047127A">
        <w:t>ion</w:t>
      </w:r>
      <w:r w:rsidRPr="0047127A">
        <w:t xml:space="preserve">, and it was presented to the county courts </w:t>
      </w:r>
      <w:r w:rsidR="004976BE" w:rsidRPr="0047127A">
        <w:t xml:space="preserve">only </w:t>
      </w:r>
      <w:r w:rsidRPr="0047127A">
        <w:t>as an option</w:t>
      </w:r>
      <w:r w:rsidR="00D761D5" w:rsidRPr="0047127A">
        <w:t>.</w:t>
      </w:r>
      <w:r w:rsidR="00BE3D2B" w:rsidRPr="0047127A">
        <w:t xml:space="preserve">  </w:t>
      </w:r>
      <w:r w:rsidR="00E4300E">
        <w:t>Nonetheless</w:t>
      </w:r>
      <w:r w:rsidR="00D761D5" w:rsidRPr="0047127A">
        <w:t>,</w:t>
      </w:r>
      <w:r w:rsidR="00BE3D2B" w:rsidRPr="0047127A">
        <w:t xml:space="preserve"> </w:t>
      </w:r>
      <w:r w:rsidR="00944767" w:rsidRPr="0047127A">
        <w:t>b</w:t>
      </w:r>
      <w:r w:rsidRPr="0047127A">
        <w:t>y 2002</w:t>
      </w:r>
      <w:r w:rsidR="005A59F6" w:rsidRPr="0047127A">
        <w:t xml:space="preserve"> </w:t>
      </w:r>
      <w:r w:rsidRPr="0047127A">
        <w:t xml:space="preserve">the judges in all of California’s counties had </w:t>
      </w:r>
      <w:r w:rsidR="00D761D5" w:rsidRPr="0047127A">
        <w:t xml:space="preserve">opted </w:t>
      </w:r>
      <w:r w:rsidRPr="0047127A">
        <w:t xml:space="preserve">to unify their courts, with the result that each county </w:t>
      </w:r>
      <w:r w:rsidR="005A59F6" w:rsidRPr="0047127A">
        <w:t xml:space="preserve">then </w:t>
      </w:r>
      <w:r w:rsidRPr="0047127A">
        <w:t>had only a superior court.</w:t>
      </w:r>
    </w:p>
    <w:p w14:paraId="34817BF3" w14:textId="522C811B" w:rsidR="00130110" w:rsidRPr="0047127A" w:rsidRDefault="00B23C28" w:rsidP="0047127A">
      <w:pPr>
        <w:tabs>
          <w:tab w:val="left" w:pos="1440"/>
        </w:tabs>
        <w:ind w:firstLine="720"/>
      </w:pPr>
      <w:r>
        <w:t>With the advent of c</w:t>
      </w:r>
      <w:r w:rsidR="00152976" w:rsidRPr="0047127A">
        <w:t>ourt unification</w:t>
      </w:r>
      <w:r>
        <w:t xml:space="preserve">, an </w:t>
      </w:r>
      <w:r w:rsidR="00152976" w:rsidRPr="0047127A">
        <w:t>accusatory pleading</w:t>
      </w:r>
      <w:r w:rsidR="005B76B0" w:rsidRPr="0047127A">
        <w:t xml:space="preserve"> — whether </w:t>
      </w:r>
      <w:r w:rsidR="00152976" w:rsidRPr="0047127A">
        <w:t xml:space="preserve">charging </w:t>
      </w:r>
      <w:r w:rsidR="00A01098" w:rsidRPr="0047127A">
        <w:t xml:space="preserve">a </w:t>
      </w:r>
      <w:r w:rsidR="00B04A73" w:rsidRPr="0047127A">
        <w:t>felon</w:t>
      </w:r>
      <w:r w:rsidR="00A01098" w:rsidRPr="0047127A">
        <w:t>y</w:t>
      </w:r>
      <w:r w:rsidR="00B04A73" w:rsidRPr="0047127A">
        <w:t xml:space="preserve"> or </w:t>
      </w:r>
      <w:r w:rsidR="00A01098" w:rsidRPr="0047127A">
        <w:t xml:space="preserve">a </w:t>
      </w:r>
      <w:r w:rsidR="00B04A73" w:rsidRPr="0047127A">
        <w:t>misdemeanor</w:t>
      </w:r>
      <w:r w:rsidR="005B76B0" w:rsidRPr="0047127A">
        <w:t> —</w:t>
      </w:r>
      <w:r w:rsidR="00B04A73" w:rsidRPr="0047127A">
        <w:t xml:space="preserve"> </w:t>
      </w:r>
      <w:r w:rsidR="00152976" w:rsidRPr="0047127A">
        <w:t>was filed in the</w:t>
      </w:r>
      <w:r w:rsidR="00887A86" w:rsidRPr="0047127A">
        <w:t xml:space="preserve"> </w:t>
      </w:r>
      <w:r w:rsidR="00600009" w:rsidRPr="0047127A">
        <w:t>superior court</w:t>
      </w:r>
      <w:r w:rsidR="00152976" w:rsidRPr="0047127A">
        <w:t xml:space="preserve">.  </w:t>
      </w:r>
      <w:r w:rsidR="00A450F3">
        <w:t xml:space="preserve">However, in many respects, </w:t>
      </w:r>
      <w:r w:rsidR="00152976" w:rsidRPr="0047127A">
        <w:t xml:space="preserve">court unification did not bring about any significant change in </w:t>
      </w:r>
      <w:r w:rsidR="00152976" w:rsidRPr="0047127A">
        <w:lastRenderedPageBreak/>
        <w:t>criminal procedure.</w:t>
      </w:r>
      <w:r w:rsidR="00A636F9" w:rsidRPr="0047127A">
        <w:t xml:space="preserve">  </w:t>
      </w:r>
      <w:r w:rsidR="000D2B4F" w:rsidRPr="0047127A">
        <w:t xml:space="preserve">For </w:t>
      </w:r>
      <w:r w:rsidR="00D761D5" w:rsidRPr="0047127A">
        <w:t>example, b</w:t>
      </w:r>
      <w:r w:rsidR="00152976" w:rsidRPr="0047127A">
        <w:t>efore court unification, judges (then of the municipal courts) sat as magistrates to hold preliminary hearings in felony cases, and after court unification, judges (now of the superior courts) continued to sit as magistrates for the same pu</w:t>
      </w:r>
      <w:r w:rsidR="00152976" w:rsidRPr="00CF4F71">
        <w:t>rpose.</w:t>
      </w:r>
      <w:r w:rsidR="00D3604F" w:rsidRPr="00CF4F71">
        <w:t xml:space="preserve">  </w:t>
      </w:r>
      <w:r w:rsidR="00A636F9" w:rsidRPr="00CF4F71">
        <w:t>(</w:t>
      </w:r>
      <w:r w:rsidR="00887A86" w:rsidRPr="00CF4F71">
        <w:t xml:space="preserve">See </w:t>
      </w:r>
      <w:r w:rsidR="00D3604F" w:rsidRPr="00CF4F71">
        <w:rPr>
          <w:i/>
          <w:iCs/>
        </w:rPr>
        <w:t>People v. Crayton</w:t>
      </w:r>
      <w:r w:rsidR="00D3604F" w:rsidRPr="00CF4F71">
        <w:t xml:space="preserve"> (2002) 28 Cal.4th 346, </w:t>
      </w:r>
      <w:r w:rsidR="00051C96" w:rsidRPr="00CF4F71">
        <w:t>359–</w:t>
      </w:r>
      <w:r w:rsidR="00D3604F" w:rsidRPr="00CF4F71">
        <w:t>360</w:t>
      </w:r>
      <w:r w:rsidR="00A636F9" w:rsidRPr="00CF4F71">
        <w:t xml:space="preserve">.)  </w:t>
      </w:r>
      <w:r w:rsidR="00EB6A9E" w:rsidRPr="00CF4F71">
        <w:t>Likewise, b</w:t>
      </w:r>
      <w:r w:rsidR="00152976" w:rsidRPr="00CF4F71">
        <w:t xml:space="preserve">oth </w:t>
      </w:r>
      <w:r w:rsidR="00A636F9" w:rsidRPr="00CF4F71">
        <w:t>b</w:t>
      </w:r>
      <w:r w:rsidR="00A636F9" w:rsidRPr="0047127A">
        <w:t xml:space="preserve">efore and after court unification, </w:t>
      </w:r>
      <w:r w:rsidR="00152976" w:rsidRPr="0047127A">
        <w:t xml:space="preserve">the magistrate </w:t>
      </w:r>
      <w:r w:rsidR="00944767" w:rsidRPr="0047127A">
        <w:t xml:space="preserve">did </w:t>
      </w:r>
      <w:r w:rsidR="006B0DB8" w:rsidRPr="0047127A">
        <w:t>not presid</w:t>
      </w:r>
      <w:r w:rsidR="00944767" w:rsidRPr="0047127A">
        <w:t xml:space="preserve">e as </w:t>
      </w:r>
      <w:r w:rsidR="00A40FBB" w:rsidRPr="0047127A">
        <w:t>the</w:t>
      </w:r>
      <w:r w:rsidR="00944767" w:rsidRPr="0047127A">
        <w:t xml:space="preserve"> judge of a</w:t>
      </w:r>
      <w:r w:rsidR="00CF767F" w:rsidRPr="0047127A">
        <w:t>ny</w:t>
      </w:r>
      <w:r w:rsidR="00944767" w:rsidRPr="0047127A">
        <w:t xml:space="preserve"> </w:t>
      </w:r>
      <w:r w:rsidR="006B0DB8" w:rsidRPr="0047127A">
        <w:t xml:space="preserve">court, and </w:t>
      </w:r>
      <w:r w:rsidR="00EB6A9E" w:rsidRPr="0047127A">
        <w:t xml:space="preserve">he or she </w:t>
      </w:r>
      <w:r w:rsidR="00A01098" w:rsidRPr="0047127A">
        <w:t xml:space="preserve">did not exercise </w:t>
      </w:r>
      <w:r w:rsidR="00152976" w:rsidRPr="0047127A">
        <w:t>trial</w:t>
      </w:r>
      <w:r w:rsidR="00D11792" w:rsidRPr="0047127A">
        <w:t xml:space="preserve"> </w:t>
      </w:r>
      <w:r w:rsidR="00152976" w:rsidRPr="0047127A">
        <w:t>jurisdiction.</w:t>
      </w:r>
      <w:r w:rsidR="00600009" w:rsidRPr="0047127A">
        <w:t xml:space="preserve">  </w:t>
      </w:r>
      <w:r w:rsidR="00944767" w:rsidRPr="0047127A">
        <w:t>Hence</w:t>
      </w:r>
      <w:r w:rsidR="00A352D0" w:rsidRPr="0047127A">
        <w:t xml:space="preserve">, it is still the law </w:t>
      </w:r>
      <w:r w:rsidR="00887A86" w:rsidRPr="0047127A">
        <w:t xml:space="preserve">today </w:t>
      </w:r>
      <w:r w:rsidR="00A352D0" w:rsidRPr="0047127A">
        <w:t xml:space="preserve">that </w:t>
      </w:r>
      <w:r w:rsidR="00600009" w:rsidRPr="0047127A">
        <w:t>if a defendant enters a guilty plea before a magistrate, the magistrate</w:t>
      </w:r>
      <w:r w:rsidR="006C13B4">
        <w:t> </w:t>
      </w:r>
      <w:r w:rsidR="00887A86" w:rsidRPr="0047127A">
        <w:t>— despite being a superior court judge</w:t>
      </w:r>
      <w:r w:rsidR="006C13B4">
        <w:t> </w:t>
      </w:r>
      <w:r w:rsidR="00887A86" w:rsidRPr="0047127A">
        <w:t xml:space="preserve">— </w:t>
      </w:r>
      <w:r w:rsidR="00600009" w:rsidRPr="0047127A">
        <w:t>must certify the case to the trial court for entry of judgment.  (§ 859a, subd. (a).)</w:t>
      </w:r>
      <w:r w:rsidR="006F0812" w:rsidRPr="0047127A">
        <w:t xml:space="preserve">  </w:t>
      </w:r>
      <w:r w:rsidR="005C228C">
        <w:t xml:space="preserve">Similarly, </w:t>
      </w:r>
      <w:r w:rsidR="006F0812" w:rsidRPr="0047127A">
        <w:t xml:space="preserve">if the magistrate conducts a preliminary examination and </w:t>
      </w:r>
      <w:r w:rsidR="00A01098" w:rsidRPr="0047127A">
        <w:t xml:space="preserve">orders that the defendant be </w:t>
      </w:r>
      <w:r w:rsidR="006F0812" w:rsidRPr="0047127A">
        <w:t>h</w:t>
      </w:r>
      <w:r w:rsidR="00A01098" w:rsidRPr="0047127A">
        <w:t>e</w:t>
      </w:r>
      <w:r w:rsidR="006F0812" w:rsidRPr="0047127A">
        <w:t>ld to answer (§§ 860, 872), the district attorney must file an information “in the superior court”</w:t>
      </w:r>
      <w:r w:rsidR="00A01098" w:rsidRPr="0047127A">
        <w:t xml:space="preserve"> </w:t>
      </w:r>
      <w:bookmarkStart w:id="14" w:name="_Hlk106183755"/>
      <w:r w:rsidR="006F0812" w:rsidRPr="0047127A">
        <w:t>(§§ 739, 860)</w:t>
      </w:r>
      <w:bookmarkEnd w:id="14"/>
      <w:r w:rsidR="00A01098" w:rsidRPr="0047127A">
        <w:t>.</w:t>
      </w:r>
      <w:r w:rsidR="006F0812" w:rsidRPr="0047127A">
        <w:t xml:space="preserve">  Th</w:t>
      </w:r>
      <w:r w:rsidR="00960A72" w:rsidRPr="0047127A">
        <w:t xml:space="preserve">at filing is necessary </w:t>
      </w:r>
      <w:r w:rsidR="006F0812" w:rsidRPr="0047127A">
        <w:t xml:space="preserve">because </w:t>
      </w:r>
      <w:r w:rsidR="00274FFA" w:rsidRPr="0047127A">
        <w:t xml:space="preserve">even </w:t>
      </w:r>
      <w:r w:rsidR="00D13821" w:rsidRPr="0047127A">
        <w:t xml:space="preserve">though </w:t>
      </w:r>
      <w:r w:rsidR="00274FFA" w:rsidRPr="0047127A">
        <w:t xml:space="preserve">the magistrate is a superior court judge, </w:t>
      </w:r>
      <w:r w:rsidR="006F0812" w:rsidRPr="0047127A">
        <w:t xml:space="preserve">the superior court is institutionally distinct from the </w:t>
      </w:r>
      <w:r w:rsidR="00274FFA" w:rsidRPr="0047127A">
        <w:t xml:space="preserve">office of </w:t>
      </w:r>
      <w:r w:rsidR="006F0812" w:rsidRPr="0047127A">
        <w:t>magistrate</w:t>
      </w:r>
      <w:r w:rsidR="00D11792" w:rsidRPr="0047127A">
        <w:t>, which</w:t>
      </w:r>
      <w:r w:rsidR="00CF767F" w:rsidRPr="0047127A">
        <w:t xml:space="preserve"> </w:t>
      </w:r>
      <w:r w:rsidR="00D11792" w:rsidRPr="0047127A">
        <w:t>conducted the preliminary hearing</w:t>
      </w:r>
      <w:r w:rsidR="006F0812" w:rsidRPr="0047127A">
        <w:t>.  (Compare § 806 with §§ 739, 860.)</w:t>
      </w:r>
    </w:p>
    <w:p w14:paraId="00CFDD47" w14:textId="39E11098" w:rsidR="00AC4208" w:rsidRPr="0047127A" w:rsidRDefault="002828C1" w:rsidP="0047127A">
      <w:pPr>
        <w:tabs>
          <w:tab w:val="left" w:pos="1440"/>
        </w:tabs>
        <w:ind w:firstLine="720"/>
      </w:pPr>
      <w:r w:rsidRPr="0047127A">
        <w:t>The</w:t>
      </w:r>
      <w:r w:rsidR="005C228C">
        <w:t xml:space="preserve"> misapprehension </w:t>
      </w:r>
      <w:r w:rsidR="00192D65">
        <w:t xml:space="preserve">that arose </w:t>
      </w:r>
      <w:r w:rsidR="00F75E03">
        <w:t xml:space="preserve">at all stages of </w:t>
      </w:r>
      <w:r w:rsidRPr="0047127A">
        <w:t>the present case may be attributed</w:t>
      </w:r>
      <w:r w:rsidR="00F75E03">
        <w:t>,</w:t>
      </w:r>
      <w:r w:rsidRPr="0047127A">
        <w:t xml:space="preserve"> in large part</w:t>
      </w:r>
      <w:r w:rsidR="00F75E03">
        <w:t>,</w:t>
      </w:r>
      <w:r w:rsidRPr="0047127A">
        <w:t xml:space="preserve"> to </w:t>
      </w:r>
      <w:r w:rsidR="006C576D" w:rsidRPr="0047127A">
        <w:t>court unification.</w:t>
      </w:r>
      <w:r w:rsidR="00130110" w:rsidRPr="0047127A">
        <w:t xml:space="preserve">  </w:t>
      </w:r>
      <w:r w:rsidRPr="0047127A">
        <w:t xml:space="preserve">Before court unification, it was relatively easy to distinguish </w:t>
      </w:r>
      <w:r w:rsidR="00C7134A" w:rsidRPr="0047127A">
        <w:rPr>
          <w:szCs w:val="26"/>
        </w:rPr>
        <w:t>magistrate proceeding</w:t>
      </w:r>
      <w:r w:rsidRPr="0047127A">
        <w:rPr>
          <w:szCs w:val="26"/>
        </w:rPr>
        <w:t xml:space="preserve">s from </w:t>
      </w:r>
      <w:r w:rsidR="00C7134A" w:rsidRPr="0047127A">
        <w:rPr>
          <w:szCs w:val="26"/>
        </w:rPr>
        <w:t>trial court proceeding</w:t>
      </w:r>
      <w:r w:rsidRPr="0047127A">
        <w:rPr>
          <w:szCs w:val="26"/>
        </w:rPr>
        <w:t>s</w:t>
      </w:r>
      <w:r w:rsidR="00C7134A" w:rsidRPr="0047127A">
        <w:rPr>
          <w:szCs w:val="26"/>
        </w:rPr>
        <w:t xml:space="preserve"> </w:t>
      </w:r>
      <w:r w:rsidRPr="0047127A">
        <w:rPr>
          <w:szCs w:val="26"/>
        </w:rPr>
        <w:t xml:space="preserve">because they </w:t>
      </w:r>
      <w:r w:rsidR="00130110" w:rsidRPr="0047127A">
        <w:rPr>
          <w:szCs w:val="26"/>
        </w:rPr>
        <w:t>occurred, as an administrative matter, in two different courts</w:t>
      </w:r>
      <w:r w:rsidR="00C7134A" w:rsidRPr="0047127A">
        <w:rPr>
          <w:szCs w:val="26"/>
        </w:rPr>
        <w:t>.  B</w:t>
      </w:r>
      <w:r w:rsidR="00130110" w:rsidRPr="0047127A">
        <w:rPr>
          <w:szCs w:val="26"/>
        </w:rPr>
        <w:t xml:space="preserve">ut </w:t>
      </w:r>
      <w:r w:rsidR="00C7134A" w:rsidRPr="0047127A">
        <w:rPr>
          <w:szCs w:val="26"/>
        </w:rPr>
        <w:t xml:space="preserve">after </w:t>
      </w:r>
      <w:r w:rsidR="00B80563" w:rsidRPr="0047127A">
        <w:t>court unification,</w:t>
      </w:r>
      <w:r w:rsidR="00C7134A" w:rsidRPr="0047127A">
        <w:rPr>
          <w:szCs w:val="26"/>
        </w:rPr>
        <w:t xml:space="preserve"> the felony complaint that initiates </w:t>
      </w:r>
      <w:r w:rsidRPr="0047127A">
        <w:rPr>
          <w:szCs w:val="26"/>
        </w:rPr>
        <w:t>a</w:t>
      </w:r>
      <w:r w:rsidR="00C7134A" w:rsidRPr="0047127A">
        <w:rPr>
          <w:szCs w:val="26"/>
        </w:rPr>
        <w:t xml:space="preserve"> magistrate proceeding is filed at the </w:t>
      </w:r>
      <w:r w:rsidR="00130110" w:rsidRPr="0047127A">
        <w:rPr>
          <w:szCs w:val="26"/>
        </w:rPr>
        <w:t xml:space="preserve">same </w:t>
      </w:r>
      <w:r w:rsidR="00C7134A" w:rsidRPr="0047127A">
        <w:rPr>
          <w:szCs w:val="26"/>
        </w:rPr>
        <w:t>superior court</w:t>
      </w:r>
      <w:r w:rsidR="00130110" w:rsidRPr="0047127A">
        <w:rPr>
          <w:szCs w:val="26"/>
        </w:rPr>
        <w:t xml:space="preserve"> that later conducts the trial (assuming the defendant is held to answer)</w:t>
      </w:r>
      <w:r w:rsidR="00C7134A" w:rsidRPr="0047127A">
        <w:rPr>
          <w:szCs w:val="26"/>
        </w:rPr>
        <w:t xml:space="preserve">, and the magistrate who presides at the preliminary examination is a superior court judge.  Moreover, </w:t>
      </w:r>
      <w:r w:rsidR="00130110" w:rsidRPr="0047127A">
        <w:rPr>
          <w:szCs w:val="26"/>
        </w:rPr>
        <w:t xml:space="preserve">the trial court proceeding </w:t>
      </w:r>
      <w:r w:rsidRPr="0047127A">
        <w:rPr>
          <w:szCs w:val="26"/>
        </w:rPr>
        <w:t xml:space="preserve">often bears </w:t>
      </w:r>
      <w:r w:rsidR="00C7134A" w:rsidRPr="0047127A">
        <w:rPr>
          <w:szCs w:val="26"/>
        </w:rPr>
        <w:t>the same case number as the magistrate proceeding</w:t>
      </w:r>
      <w:r w:rsidRPr="0047127A">
        <w:rPr>
          <w:szCs w:val="26"/>
        </w:rPr>
        <w:t xml:space="preserve"> that precedes it</w:t>
      </w:r>
      <w:r w:rsidR="00C7134A" w:rsidRPr="0047127A">
        <w:rPr>
          <w:szCs w:val="26"/>
        </w:rPr>
        <w:t xml:space="preserve">.  With </w:t>
      </w:r>
      <w:r w:rsidRPr="0047127A">
        <w:rPr>
          <w:szCs w:val="26"/>
        </w:rPr>
        <w:lastRenderedPageBreak/>
        <w:t xml:space="preserve">everything </w:t>
      </w:r>
      <w:r w:rsidR="00C7134A" w:rsidRPr="0047127A">
        <w:rPr>
          <w:szCs w:val="26"/>
        </w:rPr>
        <w:t xml:space="preserve">taking place under the administrative oversight of the </w:t>
      </w:r>
      <w:r w:rsidRPr="0047127A">
        <w:rPr>
          <w:szCs w:val="26"/>
        </w:rPr>
        <w:t xml:space="preserve">superior </w:t>
      </w:r>
      <w:r w:rsidR="00C7134A" w:rsidRPr="0047127A">
        <w:rPr>
          <w:szCs w:val="26"/>
        </w:rPr>
        <w:t xml:space="preserve">court, it </w:t>
      </w:r>
      <w:r w:rsidR="00270F26">
        <w:rPr>
          <w:szCs w:val="26"/>
        </w:rPr>
        <w:t>i</w:t>
      </w:r>
      <w:r w:rsidR="00C7134A" w:rsidRPr="0047127A">
        <w:rPr>
          <w:szCs w:val="26"/>
        </w:rPr>
        <w:t>s easy to imagine</w:t>
      </w:r>
      <w:r w:rsidR="00E44CCD">
        <w:rPr>
          <w:szCs w:val="26"/>
        </w:rPr>
        <w:t>, as the dissent does (see, e.g., dis. opn.</w:t>
      </w:r>
      <w:r w:rsidR="00EB5131">
        <w:rPr>
          <w:szCs w:val="26"/>
        </w:rPr>
        <w:t xml:space="preserve"> of Kruger, J.</w:t>
      </w:r>
      <w:r w:rsidR="00E44CCD">
        <w:rPr>
          <w:szCs w:val="26"/>
        </w:rPr>
        <w:t xml:space="preserve">, </w:t>
      </w:r>
      <w:r w:rsidR="00E44CCD" w:rsidRPr="00E44CCD">
        <w:rPr>
          <w:i/>
          <w:iCs/>
          <w:szCs w:val="26"/>
        </w:rPr>
        <w:t>post</w:t>
      </w:r>
      <w:r w:rsidR="00E44CCD">
        <w:rPr>
          <w:szCs w:val="26"/>
        </w:rPr>
        <w:t xml:space="preserve">, pp. </w:t>
      </w:r>
      <w:r w:rsidR="007A5EE8">
        <w:rPr>
          <w:szCs w:val="26"/>
        </w:rPr>
        <w:t>1</w:t>
      </w:r>
      <w:r w:rsidR="00685270">
        <w:rPr>
          <w:szCs w:val="26"/>
        </w:rPr>
        <w:t>0</w:t>
      </w:r>
      <w:r w:rsidR="00FB4169">
        <w:rPr>
          <w:szCs w:val="26"/>
        </w:rPr>
        <w:t>–1</w:t>
      </w:r>
      <w:r w:rsidR="00685270">
        <w:rPr>
          <w:szCs w:val="26"/>
        </w:rPr>
        <w:t>1</w:t>
      </w:r>
      <w:r w:rsidR="007A5EE8">
        <w:rPr>
          <w:szCs w:val="26"/>
        </w:rPr>
        <w:t>, 13</w:t>
      </w:r>
      <w:r w:rsidR="00F66F97">
        <w:rPr>
          <w:szCs w:val="26"/>
        </w:rPr>
        <w:t>–14</w:t>
      </w:r>
      <w:r w:rsidR="007A5EE8">
        <w:rPr>
          <w:szCs w:val="26"/>
        </w:rPr>
        <w:t xml:space="preserve">, and </w:t>
      </w:r>
      <w:r w:rsidR="00EB5131">
        <w:rPr>
          <w:szCs w:val="26"/>
        </w:rPr>
        <w:t>14</w:t>
      </w:r>
      <w:r w:rsidR="00FB4169">
        <w:rPr>
          <w:szCs w:val="26"/>
        </w:rPr>
        <w:t>–15</w:t>
      </w:r>
      <w:r w:rsidR="007A5EE8">
        <w:rPr>
          <w:szCs w:val="26"/>
        </w:rPr>
        <w:t xml:space="preserve">, fn. </w:t>
      </w:r>
      <w:r w:rsidR="00F66F97">
        <w:rPr>
          <w:szCs w:val="26"/>
        </w:rPr>
        <w:t>4</w:t>
      </w:r>
      <w:r w:rsidR="00E44CCD">
        <w:rPr>
          <w:szCs w:val="26"/>
        </w:rPr>
        <w:t>),</w:t>
      </w:r>
      <w:r w:rsidR="00C7134A" w:rsidRPr="0047127A">
        <w:rPr>
          <w:szCs w:val="26"/>
        </w:rPr>
        <w:t xml:space="preserve"> that</w:t>
      </w:r>
      <w:r w:rsidR="00811420" w:rsidRPr="0047127A">
        <w:t xml:space="preserve"> the preliminary examination and the trial are successive stages in a single ongoing </w:t>
      </w:r>
      <w:r w:rsidRPr="0047127A">
        <w:t xml:space="preserve">proceeding </w:t>
      </w:r>
      <w:r w:rsidR="00912216" w:rsidRPr="0047127A">
        <w:t>that begins with the filing of the felony complaint</w:t>
      </w:r>
      <w:r w:rsidR="00270F26">
        <w:t xml:space="preserve">.  Not so.  </w:t>
      </w:r>
      <w:r w:rsidR="00D11792" w:rsidRPr="0047127A">
        <w:t xml:space="preserve">Rather, </w:t>
      </w:r>
      <w:r w:rsidR="006A74E7">
        <w:t xml:space="preserve">as we clarified above, </w:t>
      </w:r>
      <w:r w:rsidR="00130110" w:rsidRPr="0047127A">
        <w:t xml:space="preserve">the </w:t>
      </w:r>
      <w:r w:rsidRPr="0047127A">
        <w:t xml:space="preserve">felony </w:t>
      </w:r>
      <w:r w:rsidR="00130110" w:rsidRPr="0047127A">
        <w:t xml:space="preserve">complaint </w:t>
      </w:r>
      <w:r w:rsidR="00912216" w:rsidRPr="0047127A">
        <w:t xml:space="preserve">is filed “with the magistrate” (§ 806), </w:t>
      </w:r>
      <w:r w:rsidRPr="0047127A">
        <w:t xml:space="preserve">not with the court, </w:t>
      </w:r>
      <w:r w:rsidR="00912216" w:rsidRPr="0047127A">
        <w:t xml:space="preserve">and </w:t>
      </w:r>
      <w:r w:rsidR="00731399" w:rsidRPr="0047127A">
        <w:t xml:space="preserve">the </w:t>
      </w:r>
      <w:r w:rsidR="00152976" w:rsidRPr="0047127A">
        <w:t xml:space="preserve">first pleading </w:t>
      </w:r>
      <w:r w:rsidRPr="0047127A">
        <w:t xml:space="preserve">in a felony case </w:t>
      </w:r>
      <w:r w:rsidR="00912216" w:rsidRPr="0047127A">
        <w:t xml:space="preserve">that is </w:t>
      </w:r>
      <w:r w:rsidR="00B80563" w:rsidRPr="0047127A">
        <w:t xml:space="preserve">filed </w:t>
      </w:r>
      <w:r w:rsidR="003F05C2" w:rsidRPr="0047127A">
        <w:rPr>
          <w:i/>
          <w:iCs/>
        </w:rPr>
        <w:t xml:space="preserve">with </w:t>
      </w:r>
      <w:r w:rsidR="00B80563" w:rsidRPr="0047127A">
        <w:rPr>
          <w:i/>
          <w:iCs/>
        </w:rPr>
        <w:t>the court</w:t>
      </w:r>
      <w:r w:rsidR="006C13B4">
        <w:rPr>
          <w:i/>
          <w:iCs/>
        </w:rPr>
        <w:t> </w:t>
      </w:r>
      <w:r w:rsidR="00B80563" w:rsidRPr="0047127A">
        <w:t xml:space="preserve">— the </w:t>
      </w:r>
      <w:r w:rsidR="006C576D" w:rsidRPr="0047127A">
        <w:t xml:space="preserve">first pleading that must be </w:t>
      </w:r>
      <w:r w:rsidR="00912216" w:rsidRPr="0047127A">
        <w:t xml:space="preserve">subscribed </w:t>
      </w:r>
      <w:r w:rsidR="006C576D" w:rsidRPr="0047127A">
        <w:t xml:space="preserve">by the </w:t>
      </w:r>
      <w:r w:rsidR="005B5DEE" w:rsidRPr="0047127A">
        <w:t>district attorney</w:t>
      </w:r>
      <w:r w:rsidR="000669F0" w:rsidRPr="0047127A">
        <w:t xml:space="preserve"> </w:t>
      </w:r>
      <w:r w:rsidR="006C576D" w:rsidRPr="0047127A">
        <w:t>and that initiate</w:t>
      </w:r>
      <w:r w:rsidR="005B5DEE" w:rsidRPr="0047127A">
        <w:t xml:space="preserve">s </w:t>
      </w:r>
      <w:r w:rsidR="006C576D" w:rsidRPr="0047127A">
        <w:t xml:space="preserve">the </w:t>
      </w:r>
      <w:r w:rsidR="00A97B16" w:rsidRPr="0047127A">
        <w:t>actual</w:t>
      </w:r>
      <w:r w:rsidR="002D59FE">
        <w:t xml:space="preserve"> court </w:t>
      </w:r>
      <w:r w:rsidR="00B80563" w:rsidRPr="0047127A">
        <w:t>prosecution of t</w:t>
      </w:r>
      <w:r w:rsidR="00E46C77" w:rsidRPr="0047127A">
        <w:t xml:space="preserve">he </w:t>
      </w:r>
      <w:r w:rsidR="00E45099" w:rsidRPr="0047127A">
        <w:t>defendant</w:t>
      </w:r>
      <w:r w:rsidR="006C13B4">
        <w:t> </w:t>
      </w:r>
      <w:r w:rsidR="00B80563" w:rsidRPr="0047127A">
        <w:t>— is the information</w:t>
      </w:r>
      <w:r w:rsidR="00912216" w:rsidRPr="0047127A">
        <w:t>.  I</w:t>
      </w:r>
      <w:r w:rsidR="003913C9" w:rsidRPr="0047127A">
        <w:t xml:space="preserve">t is </w:t>
      </w:r>
      <w:r w:rsidR="005D0147" w:rsidRPr="0047127A">
        <w:t xml:space="preserve">only </w:t>
      </w:r>
      <w:r w:rsidR="000669F0" w:rsidRPr="0047127A">
        <w:t>with the filing of th</w:t>
      </w:r>
      <w:r w:rsidR="00D11792" w:rsidRPr="0047127A">
        <w:t>at</w:t>
      </w:r>
      <w:r w:rsidR="000669F0" w:rsidRPr="0047127A">
        <w:t xml:space="preserve"> information </w:t>
      </w:r>
      <w:r w:rsidR="003913C9" w:rsidRPr="0047127A">
        <w:t xml:space="preserve">that the </w:t>
      </w:r>
      <w:r w:rsidR="00E45099" w:rsidRPr="0047127A">
        <w:t xml:space="preserve">superior </w:t>
      </w:r>
      <w:r w:rsidR="003913C9" w:rsidRPr="0047127A">
        <w:t xml:space="preserve">court begins </w:t>
      </w:r>
      <w:r w:rsidR="00E46C77" w:rsidRPr="0047127A">
        <w:t xml:space="preserve">to </w:t>
      </w:r>
      <w:r w:rsidR="003913C9" w:rsidRPr="0047127A">
        <w:t xml:space="preserve">exercise </w:t>
      </w:r>
      <w:r w:rsidR="001F0D96">
        <w:t xml:space="preserve">its </w:t>
      </w:r>
      <w:r w:rsidR="003913C9" w:rsidRPr="0047127A">
        <w:t>jurisdiction</w:t>
      </w:r>
      <w:r w:rsidR="00152976" w:rsidRPr="0047127A">
        <w:t>.</w:t>
      </w:r>
    </w:p>
    <w:p w14:paraId="2709E1FB" w14:textId="0D8A2C0F" w:rsidR="00C90474" w:rsidRPr="0047127A" w:rsidRDefault="00B209EB" w:rsidP="0047127A">
      <w:pPr>
        <w:tabs>
          <w:tab w:val="left" w:pos="1440"/>
        </w:tabs>
        <w:ind w:firstLine="720"/>
      </w:pPr>
      <w:r w:rsidRPr="0047127A">
        <w:t xml:space="preserve">Once the </w:t>
      </w:r>
      <w:r w:rsidR="000669F0" w:rsidRPr="0047127A">
        <w:t>institutional separation between magistrate proceedings and trial court proceedings</w:t>
      </w:r>
      <w:r w:rsidRPr="0047127A">
        <w:t xml:space="preserve"> is </w:t>
      </w:r>
      <w:r w:rsidR="00C772D6">
        <w:t xml:space="preserve">fully </w:t>
      </w:r>
      <w:r w:rsidRPr="0047127A">
        <w:t>appreciate</w:t>
      </w:r>
      <w:r w:rsidR="00703C50" w:rsidRPr="0047127A">
        <w:t>d</w:t>
      </w:r>
      <w:r w:rsidRPr="0047127A">
        <w:t xml:space="preserve">, it becomes clear that </w:t>
      </w:r>
      <w:r w:rsidR="009E3B54" w:rsidRPr="0047127A">
        <w:t xml:space="preserve">pleadings </w:t>
      </w:r>
      <w:r w:rsidR="00AC4208" w:rsidRPr="0047127A">
        <w:t xml:space="preserve">filed </w:t>
      </w:r>
      <w:r w:rsidR="00B442B2" w:rsidRPr="0047127A">
        <w:t xml:space="preserve">in magistrate proceedings </w:t>
      </w:r>
      <w:r w:rsidR="000669F0" w:rsidRPr="0047127A">
        <w:t xml:space="preserve">do not limit the district attorney’s joinder power under </w:t>
      </w:r>
      <w:r w:rsidR="009B52FA" w:rsidRPr="0047127A">
        <w:t>section 954</w:t>
      </w:r>
      <w:r w:rsidR="00E9367B" w:rsidRPr="0047127A">
        <w:t xml:space="preserve">, a statute that is </w:t>
      </w:r>
      <w:r w:rsidR="00D70737">
        <w:t xml:space="preserve">primarily </w:t>
      </w:r>
      <w:r w:rsidR="00E9367B" w:rsidRPr="0047127A">
        <w:t xml:space="preserve">concerned with </w:t>
      </w:r>
      <w:r w:rsidR="00444D9B" w:rsidRPr="0028263E">
        <w:rPr>
          <w:i/>
          <w:iCs/>
        </w:rPr>
        <w:t xml:space="preserve">trial </w:t>
      </w:r>
      <w:r w:rsidR="00E9367B" w:rsidRPr="0028263E">
        <w:rPr>
          <w:i/>
          <w:iCs/>
        </w:rPr>
        <w:t>court</w:t>
      </w:r>
      <w:r w:rsidR="00E9367B" w:rsidRPr="0047127A">
        <w:t xml:space="preserve"> p</w:t>
      </w:r>
      <w:r w:rsidR="00B442B2" w:rsidRPr="0047127A">
        <w:t>roceedings</w:t>
      </w:r>
      <w:r w:rsidR="009B52FA" w:rsidRPr="0047127A">
        <w:t>.</w:t>
      </w:r>
      <w:r w:rsidR="00AC4208" w:rsidRPr="0047127A">
        <w:t xml:space="preserve">  </w:t>
      </w:r>
      <w:r w:rsidR="00B442B2" w:rsidRPr="0047127A">
        <w:t xml:space="preserve">Since 1951, </w:t>
      </w:r>
      <w:r w:rsidR="00B40731" w:rsidRPr="0047127A">
        <w:t>s</w:t>
      </w:r>
      <w:r w:rsidR="004845C3" w:rsidRPr="0047127A">
        <w:t xml:space="preserve">ection 954’s </w:t>
      </w:r>
      <w:r w:rsidR="003E31C8" w:rsidRPr="0047127A">
        <w:t xml:space="preserve">joinder clause </w:t>
      </w:r>
      <w:r w:rsidR="00B442B2" w:rsidRPr="0047127A">
        <w:t xml:space="preserve">has </w:t>
      </w:r>
      <w:r w:rsidR="003E31C8" w:rsidRPr="0047127A">
        <w:t>provide</w:t>
      </w:r>
      <w:r w:rsidR="00B442B2" w:rsidRPr="0047127A">
        <w:t>d</w:t>
      </w:r>
      <w:r w:rsidR="003E31C8" w:rsidRPr="0047127A">
        <w:t xml:space="preserve">:  </w:t>
      </w:r>
      <w:r w:rsidR="00996F15" w:rsidRPr="0047127A">
        <w:t>“An accusatory pleading may charge two or more different offenses connected together in their commission</w:t>
      </w:r>
      <w:r w:rsidR="003E31C8" w:rsidRPr="0047127A">
        <w:t xml:space="preserve"> . . . </w:t>
      </w:r>
      <w:r w:rsidR="00996F15" w:rsidRPr="0047127A">
        <w:t>or two or more different offenses of the same class of crimes or offenses</w:t>
      </w:r>
      <w:r w:rsidR="003E31C8" w:rsidRPr="0047127A">
        <w:t xml:space="preserve"> . . . .”  </w:t>
      </w:r>
      <w:r w:rsidR="00331655" w:rsidRPr="0047127A">
        <w:t xml:space="preserve">(§ 954.)  </w:t>
      </w:r>
      <w:r w:rsidR="00D92DD9" w:rsidRPr="0047127A">
        <w:t xml:space="preserve">The information </w:t>
      </w:r>
      <w:r w:rsidR="00B442B2" w:rsidRPr="0047127A">
        <w:t xml:space="preserve">that initiates </w:t>
      </w:r>
      <w:r w:rsidR="00D92DD9" w:rsidRPr="0047127A">
        <w:t xml:space="preserve">a felony case is without question an accusatory pleading (see § </w:t>
      </w:r>
      <w:r w:rsidR="00D7570B">
        <w:t>691</w:t>
      </w:r>
      <w:r w:rsidR="00D92DD9" w:rsidRPr="0047127A">
        <w:t>), and therefore under the express terms of section 954, the district attorney is free to join in th</w:t>
      </w:r>
      <w:r w:rsidR="00B442B2" w:rsidRPr="0047127A">
        <w:t>at</w:t>
      </w:r>
      <w:r w:rsidR="00D92DD9" w:rsidRPr="0047127A">
        <w:t xml:space="preserve"> information </w:t>
      </w:r>
      <w:r w:rsidR="00D7570B">
        <w:t xml:space="preserve">different </w:t>
      </w:r>
      <w:r w:rsidR="00D92DD9" w:rsidRPr="0047127A">
        <w:t>offenses connected in their commission or of the same class, and no court order is required</w:t>
      </w:r>
      <w:r w:rsidR="00B442B2" w:rsidRPr="0047127A">
        <w:t xml:space="preserve"> to that end</w:t>
      </w:r>
      <w:r w:rsidR="00D92DD9" w:rsidRPr="0047127A">
        <w:t xml:space="preserve">.  </w:t>
      </w:r>
      <w:r w:rsidR="00AC4208" w:rsidRPr="0047127A">
        <w:t>The only limitation</w:t>
      </w:r>
      <w:r w:rsidR="002277CD">
        <w:t>s</w:t>
      </w:r>
      <w:r w:rsidR="00AC4208" w:rsidRPr="0047127A">
        <w:t xml:space="preserve"> s</w:t>
      </w:r>
      <w:r w:rsidR="00C55B5F" w:rsidRPr="0047127A">
        <w:t xml:space="preserve">ection 954 </w:t>
      </w:r>
      <w:r w:rsidR="00AC4208" w:rsidRPr="0047127A">
        <w:t xml:space="preserve">imposes on this </w:t>
      </w:r>
      <w:r w:rsidR="00C55B5F" w:rsidRPr="0047127A">
        <w:t xml:space="preserve">joinder power </w:t>
      </w:r>
      <w:r w:rsidR="002277CD">
        <w:t xml:space="preserve">concern </w:t>
      </w:r>
      <w:r w:rsidR="00C55B5F" w:rsidRPr="0047127A">
        <w:t xml:space="preserve">the way in which the offenses must be related and </w:t>
      </w:r>
      <w:r w:rsidR="002277CD">
        <w:t xml:space="preserve">the grant of authority to trial courts to </w:t>
      </w:r>
      <w:r w:rsidR="00C55B5F" w:rsidRPr="0047127A">
        <w:t xml:space="preserve">sever </w:t>
      </w:r>
      <w:r w:rsidR="00AC4208" w:rsidRPr="0047127A">
        <w:t xml:space="preserve">joined </w:t>
      </w:r>
      <w:r w:rsidR="00C55B5F" w:rsidRPr="0047127A">
        <w:t xml:space="preserve">offenses </w:t>
      </w:r>
      <w:r w:rsidR="00AC4208" w:rsidRPr="0047127A">
        <w:t xml:space="preserve">when necessary to </w:t>
      </w:r>
      <w:r w:rsidR="00C55B5F" w:rsidRPr="0047127A">
        <w:t xml:space="preserve">protect the </w:t>
      </w:r>
      <w:r w:rsidR="00C55B5F" w:rsidRPr="0047127A">
        <w:lastRenderedPageBreak/>
        <w:t xml:space="preserve">interests of </w:t>
      </w:r>
      <w:r w:rsidR="00B442B2" w:rsidRPr="0047127A">
        <w:t xml:space="preserve">the </w:t>
      </w:r>
      <w:r w:rsidR="00C55B5F" w:rsidRPr="0047127A">
        <w:t xml:space="preserve">defendant.  </w:t>
      </w:r>
      <w:r w:rsidR="00D92DD9" w:rsidRPr="0047127A">
        <w:t xml:space="preserve">When </w:t>
      </w:r>
      <w:r w:rsidR="00C55B5F" w:rsidRPr="0047127A">
        <w:t xml:space="preserve">a law authorizes an act, </w:t>
      </w:r>
      <w:r w:rsidR="00D92DD9" w:rsidRPr="0047127A">
        <w:t xml:space="preserve">as section 954 clearly does, </w:t>
      </w:r>
      <w:r w:rsidR="00C55B5F" w:rsidRPr="0047127A">
        <w:t>it does not need to expressly authorize each individual way the act can be carried out</w:t>
      </w:r>
      <w:r w:rsidR="00AC4208" w:rsidRPr="0047127A">
        <w:t xml:space="preserve">.  </w:t>
      </w:r>
      <w:r w:rsidR="00D92DD9" w:rsidRPr="0047127A">
        <w:t>T</w:t>
      </w:r>
      <w:r w:rsidR="00AC4208" w:rsidRPr="0047127A">
        <w:t xml:space="preserve">herefore, </w:t>
      </w:r>
      <w:r w:rsidR="00D92DD9" w:rsidRPr="0047127A">
        <w:t>section 954</w:t>
      </w:r>
      <w:r w:rsidR="00E673B4">
        <w:t xml:space="preserve"> n</w:t>
      </w:r>
      <w:r w:rsidR="00B442B2" w:rsidRPr="0047127A">
        <w:t xml:space="preserve">eed </w:t>
      </w:r>
      <w:r w:rsidR="00E673B4">
        <w:t xml:space="preserve">not </w:t>
      </w:r>
      <w:r w:rsidR="00AC4208" w:rsidRPr="0047127A">
        <w:t>specify that th</w:t>
      </w:r>
      <w:r w:rsidR="00D92DD9" w:rsidRPr="0047127A">
        <w:t>e</w:t>
      </w:r>
      <w:r w:rsidR="00AC4208" w:rsidRPr="0047127A">
        <w:t xml:space="preserve"> joinder power extends to offenses </w:t>
      </w:r>
      <w:r w:rsidR="00D92DD9" w:rsidRPr="0047127A">
        <w:t xml:space="preserve">that were the subject of </w:t>
      </w:r>
      <w:r w:rsidR="00AC4208" w:rsidRPr="0047127A">
        <w:t>different magistrate proceedings.</w:t>
      </w:r>
      <w:r w:rsidR="00D92DD9" w:rsidRPr="0047127A">
        <w:t xml:space="preserve">  Indeed, </w:t>
      </w:r>
      <w:r w:rsidR="00B442B2" w:rsidRPr="0047127A">
        <w:t xml:space="preserve">the contrary rule, limiting joinder to offenses that </w:t>
      </w:r>
      <w:r w:rsidR="00A9673E" w:rsidRPr="0047127A">
        <w:t>were t</w:t>
      </w:r>
      <w:r w:rsidR="00D92DD9" w:rsidRPr="0047127A">
        <w:t xml:space="preserve">he subject of </w:t>
      </w:r>
      <w:r w:rsidR="00B442B2" w:rsidRPr="0047127A">
        <w:t xml:space="preserve">a single </w:t>
      </w:r>
      <w:r w:rsidR="00D92DD9" w:rsidRPr="0047127A">
        <w:t>magistrate proceeding</w:t>
      </w:r>
      <w:r w:rsidR="00B442B2" w:rsidRPr="0047127A">
        <w:t>,</w:t>
      </w:r>
      <w:r w:rsidR="00D92DD9" w:rsidRPr="0047127A">
        <w:t xml:space="preserve"> </w:t>
      </w:r>
      <w:r w:rsidR="00677A5A" w:rsidRPr="0047127A">
        <w:t xml:space="preserve">would ignore the fact that </w:t>
      </w:r>
      <w:r w:rsidR="00A97B16" w:rsidRPr="0047127A">
        <w:t xml:space="preserve">magistrate proceedings are institutionally distinct </w:t>
      </w:r>
      <w:r w:rsidR="00B442B2" w:rsidRPr="0047127A">
        <w:t>proceedings that</w:t>
      </w:r>
      <w:r w:rsidR="00677A5A" w:rsidRPr="0047127A">
        <w:t xml:space="preserve">, prior to 1972, could be initiated </w:t>
      </w:r>
      <w:r w:rsidR="00D92DD9" w:rsidRPr="0047127A">
        <w:t>w</w:t>
      </w:r>
      <w:r w:rsidR="00677A5A" w:rsidRPr="0047127A">
        <w:t xml:space="preserve">ithout the concurrence of the district attorney.  </w:t>
      </w:r>
      <w:r w:rsidR="00B174F3" w:rsidRPr="0047127A">
        <w:t xml:space="preserve">In light of the </w:t>
      </w:r>
      <w:r w:rsidR="000E15BD">
        <w:t xml:space="preserve">California </w:t>
      </w:r>
      <w:r w:rsidR="00B174F3" w:rsidRPr="0047127A">
        <w:t xml:space="preserve">policy favoring joinder, it would make no sense for the district attorney’s joinder power </w:t>
      </w:r>
      <w:r w:rsidR="00B442B2" w:rsidRPr="0047127A">
        <w:t xml:space="preserve">at the information stage </w:t>
      </w:r>
      <w:r w:rsidR="00B174F3" w:rsidRPr="0047127A">
        <w:t xml:space="preserve">to depend on </w:t>
      </w:r>
      <w:r w:rsidR="00312B24" w:rsidRPr="0047127A">
        <w:t xml:space="preserve">how many felony complaints </w:t>
      </w:r>
      <w:r w:rsidR="000036CF" w:rsidRPr="0047127A">
        <w:t>different</w:t>
      </w:r>
      <w:r w:rsidR="003D4D98">
        <w:t xml:space="preserve"> </w:t>
      </w:r>
      <w:r w:rsidR="000036CF" w:rsidRPr="0047127A">
        <w:t xml:space="preserve">victims </w:t>
      </w:r>
      <w:r w:rsidR="003D4D98">
        <w:t xml:space="preserve">of related crimes </w:t>
      </w:r>
      <w:r w:rsidR="00312B24" w:rsidRPr="0047127A">
        <w:t>m</w:t>
      </w:r>
      <w:r w:rsidR="00D95BB5">
        <w:t xml:space="preserve">ay </w:t>
      </w:r>
      <w:r w:rsidR="00312B24" w:rsidRPr="0047127A">
        <w:t>have filed.</w:t>
      </w:r>
      <w:r w:rsidR="00EA2EB8" w:rsidRPr="0047127A">
        <w:t xml:space="preserve">  </w:t>
      </w:r>
      <w:r w:rsidR="000036CF" w:rsidRPr="0047127A">
        <w:t>Furthermore</w:t>
      </w:r>
      <w:r w:rsidR="00A9673E" w:rsidRPr="0047127A">
        <w:t xml:space="preserve">, </w:t>
      </w:r>
      <w:r w:rsidR="000036CF" w:rsidRPr="0047127A">
        <w:t xml:space="preserve">in the present case </w:t>
      </w:r>
      <w:r w:rsidR="00EA2EB8" w:rsidRPr="0047127A">
        <w:t xml:space="preserve">there is no indication of </w:t>
      </w:r>
      <w:r w:rsidR="0072104C">
        <w:t xml:space="preserve">sharp practices </w:t>
      </w:r>
      <w:r w:rsidR="00295CB2">
        <w:t xml:space="preserve">on </w:t>
      </w:r>
      <w:r w:rsidR="000036CF" w:rsidRPr="0047127A">
        <w:t xml:space="preserve">the part of the </w:t>
      </w:r>
      <w:r w:rsidR="00EA2EB8" w:rsidRPr="0047127A">
        <w:t xml:space="preserve">district attorney.  Rather, the </w:t>
      </w:r>
      <w:r w:rsidR="00A9673E" w:rsidRPr="0047127A">
        <w:t xml:space="preserve">offenses at issue here are of the same class of offense, and their </w:t>
      </w:r>
      <w:r w:rsidR="00EA2EB8" w:rsidRPr="0047127A">
        <w:t xml:space="preserve">joinder </w:t>
      </w:r>
      <w:r w:rsidR="000036CF" w:rsidRPr="0047127A">
        <w:t xml:space="preserve">appears to be </w:t>
      </w:r>
      <w:r w:rsidR="00EA2EB8" w:rsidRPr="0047127A">
        <w:t>fully consistent with the underlying purposes of the joinder statute, which is to promote judicial economy.  Accordingly, we find no</w:t>
      </w:r>
      <w:r w:rsidR="008A0B94" w:rsidRPr="0047127A">
        <w:t xml:space="preserve">thing improper </w:t>
      </w:r>
      <w:r w:rsidR="00EA2EB8" w:rsidRPr="0047127A">
        <w:t xml:space="preserve">in </w:t>
      </w:r>
      <w:r w:rsidR="000036CF" w:rsidRPr="0047127A">
        <w:t xml:space="preserve">the joint information that the </w:t>
      </w:r>
      <w:r w:rsidR="00EA2EB8" w:rsidRPr="0047127A">
        <w:t xml:space="preserve">district attorney </w:t>
      </w:r>
      <w:r w:rsidR="000036CF" w:rsidRPr="0047127A">
        <w:t>filed here</w:t>
      </w:r>
      <w:r w:rsidR="00EA2EB8" w:rsidRPr="0047127A">
        <w:t>.</w:t>
      </w:r>
      <w:r w:rsidR="00312B24" w:rsidRPr="0047127A">
        <w:rPr>
          <w:rStyle w:val="FootnoteReference"/>
        </w:rPr>
        <w:footnoteReference w:id="16"/>
      </w:r>
    </w:p>
    <w:p w14:paraId="49942B56" w14:textId="07F4241E" w:rsidR="00440F0D" w:rsidRPr="0047127A" w:rsidRDefault="000D4665" w:rsidP="0047127A">
      <w:pPr>
        <w:pStyle w:val="Heading2"/>
      </w:pPr>
      <w:r w:rsidRPr="0047127A">
        <w:lastRenderedPageBreak/>
        <w:t>C</w:t>
      </w:r>
      <w:r w:rsidR="00440F0D" w:rsidRPr="0047127A">
        <w:t>. The Error of the Court of Appeal</w:t>
      </w:r>
    </w:p>
    <w:p w14:paraId="22AEC35C" w14:textId="01DC0B4D" w:rsidR="00057F29" w:rsidRPr="0047127A" w:rsidRDefault="00D84DE0" w:rsidP="0047127A">
      <w:pPr>
        <w:tabs>
          <w:tab w:val="left" w:pos="1440"/>
        </w:tabs>
        <w:ind w:firstLine="720"/>
      </w:pPr>
      <w:r w:rsidRPr="0047127A">
        <w:t>As noted, the Court of Appeal majority relied on section 954’s consolidation clause, not its joinder clause, to find authority for what the district attorney did in this case.  T</w:t>
      </w:r>
      <w:r w:rsidR="00CF3C98" w:rsidRPr="0047127A">
        <w:t xml:space="preserve">he Court of Appeal did not interpret section 954’s consolidation clause as </w:t>
      </w:r>
      <w:r w:rsidR="009E3B54" w:rsidRPr="0047127A">
        <w:t xml:space="preserve">merely </w:t>
      </w:r>
      <w:r w:rsidR="00CF3C98" w:rsidRPr="0047127A">
        <w:t xml:space="preserve">defining the circumstances in which </w:t>
      </w:r>
      <w:r w:rsidR="00CF3C98" w:rsidRPr="0047127A">
        <w:rPr>
          <w:i/>
          <w:iCs/>
        </w:rPr>
        <w:t>a court</w:t>
      </w:r>
      <w:r w:rsidR="00CF3C98" w:rsidRPr="0047127A">
        <w:t xml:space="preserve"> </w:t>
      </w:r>
      <w:r w:rsidR="0078183D" w:rsidRPr="0047127A">
        <w:t xml:space="preserve">is permitted to </w:t>
      </w:r>
      <w:r w:rsidR="00CF3C98" w:rsidRPr="0047127A">
        <w:t xml:space="preserve">consolidate </w:t>
      </w:r>
      <w:r w:rsidR="009E3B54" w:rsidRPr="0047127A">
        <w:t xml:space="preserve">multiple </w:t>
      </w:r>
      <w:r w:rsidR="00CF3C98" w:rsidRPr="0047127A">
        <w:t xml:space="preserve">pleadings; it </w:t>
      </w:r>
      <w:r w:rsidR="003718BF" w:rsidRPr="0047127A">
        <w:t xml:space="preserve">also </w:t>
      </w:r>
      <w:r w:rsidR="00CF3C98" w:rsidRPr="0047127A">
        <w:t xml:space="preserve">interpreted the clause as defining the circumstances in which </w:t>
      </w:r>
      <w:r w:rsidR="00CF3C98" w:rsidRPr="0047127A">
        <w:rPr>
          <w:i/>
          <w:iCs/>
        </w:rPr>
        <w:t>a district attorney</w:t>
      </w:r>
      <w:r w:rsidR="00CF3C98" w:rsidRPr="0047127A">
        <w:t xml:space="preserve"> </w:t>
      </w:r>
      <w:r w:rsidRPr="0047127A">
        <w:t>is not permitted to do</w:t>
      </w:r>
      <w:r w:rsidR="00CF3C98" w:rsidRPr="0047127A">
        <w:t xml:space="preserve"> so.  </w:t>
      </w:r>
      <w:r w:rsidR="004022FB" w:rsidRPr="0047127A">
        <w:t>T</w:t>
      </w:r>
      <w:r w:rsidR="00CF3C98" w:rsidRPr="0047127A">
        <w:t xml:space="preserve">he </w:t>
      </w:r>
      <w:r w:rsidR="009E3B54" w:rsidRPr="0047127A">
        <w:t xml:space="preserve">Court of Appeal </w:t>
      </w:r>
      <w:r w:rsidR="00CF3C98" w:rsidRPr="0047127A">
        <w:t xml:space="preserve">concluded that the district attorney cannot consolidate pleadings when they are filed “in the same court” </w:t>
      </w:r>
      <w:r w:rsidR="00DC215F" w:rsidRPr="0047127A">
        <w:t xml:space="preserve">as the court where the consolidation is taking place </w:t>
      </w:r>
      <w:r w:rsidR="00CF3C98" w:rsidRPr="0047127A">
        <w:t xml:space="preserve">(§ 954), but </w:t>
      </w:r>
      <w:r w:rsidR="00703D77">
        <w:t>the Court of Appeal</w:t>
      </w:r>
      <w:r w:rsidRPr="0047127A">
        <w:t xml:space="preserve"> </w:t>
      </w:r>
      <w:r w:rsidR="009E3B54" w:rsidRPr="0047127A">
        <w:t xml:space="preserve">concluded that </w:t>
      </w:r>
      <w:r w:rsidR="00CF3C98" w:rsidRPr="0047127A">
        <w:t xml:space="preserve">the district attorney </w:t>
      </w:r>
      <w:r w:rsidR="0022020E" w:rsidRPr="0047127A">
        <w:t>is o</w:t>
      </w:r>
      <w:r w:rsidR="00CF3C98" w:rsidRPr="0047127A">
        <w:t xml:space="preserve">therwise </w:t>
      </w:r>
      <w:r w:rsidR="0022020E" w:rsidRPr="0047127A">
        <w:t xml:space="preserve">free to </w:t>
      </w:r>
      <w:r w:rsidRPr="0047127A">
        <w:t>consolidate pleadings without court approval</w:t>
      </w:r>
      <w:r w:rsidR="00CF3C98" w:rsidRPr="0047127A">
        <w:t xml:space="preserve">.  </w:t>
      </w:r>
      <w:bookmarkStart w:id="15" w:name="_Hlk57378425"/>
      <w:r w:rsidR="00440F0D" w:rsidRPr="0047127A">
        <w:t>(</w:t>
      </w:r>
      <w:r w:rsidR="00440F0D" w:rsidRPr="0047127A">
        <w:rPr>
          <w:i/>
          <w:iCs/>
        </w:rPr>
        <w:t>Henson</w:t>
      </w:r>
      <w:r w:rsidR="00440F0D" w:rsidRPr="0047127A">
        <w:t xml:space="preserve">, </w:t>
      </w:r>
      <w:r w:rsidR="00440F0D" w:rsidRPr="0047127A">
        <w:rPr>
          <w:i/>
          <w:iCs/>
        </w:rPr>
        <w:t>supra</w:t>
      </w:r>
      <w:r w:rsidR="00440F0D" w:rsidRPr="0047127A">
        <w:t>, 28 Cal.App.5th at p. 510.)</w:t>
      </w:r>
      <w:bookmarkEnd w:id="15"/>
      <w:r w:rsidR="00440F0D" w:rsidRPr="0047127A">
        <w:t xml:space="preserve">  Based on that reading of section 954, the Court of Appeal majority </w:t>
      </w:r>
      <w:r w:rsidR="003718BF" w:rsidRPr="0047127A">
        <w:t xml:space="preserve">further </w:t>
      </w:r>
      <w:r w:rsidR="00440F0D" w:rsidRPr="0047127A">
        <w:t xml:space="preserve">concluded that </w:t>
      </w:r>
      <w:r w:rsidR="00440F0D" w:rsidRPr="0047127A">
        <w:rPr>
          <w:i/>
          <w:iCs/>
        </w:rPr>
        <w:t>before court unification</w:t>
      </w:r>
      <w:r w:rsidR="00440F0D" w:rsidRPr="0047127A">
        <w:t xml:space="preserve">, the district attorney </w:t>
      </w:r>
      <w:r w:rsidR="00CF3C98" w:rsidRPr="0047127A">
        <w:t xml:space="preserve">did not need court approval to </w:t>
      </w:r>
      <w:r w:rsidR="00440F0D" w:rsidRPr="0047127A">
        <w:t>consolidat</w:t>
      </w:r>
      <w:r w:rsidR="004022FB" w:rsidRPr="0047127A">
        <w:t>e</w:t>
      </w:r>
      <w:r w:rsidR="00440F0D" w:rsidRPr="0047127A">
        <w:t xml:space="preserve"> two felony complaints </w:t>
      </w:r>
      <w:r w:rsidR="004022FB" w:rsidRPr="0047127A">
        <w:t xml:space="preserve">into a single information </w:t>
      </w:r>
      <w:r w:rsidR="00440F0D" w:rsidRPr="0047127A">
        <w:t xml:space="preserve">because the municipal court </w:t>
      </w:r>
      <w:r w:rsidR="00C055CD" w:rsidRPr="0047127A">
        <w:t xml:space="preserve">where the felony complaints were filed </w:t>
      </w:r>
      <w:r w:rsidR="00440F0D" w:rsidRPr="0047127A">
        <w:t>was a different court from the superior court</w:t>
      </w:r>
      <w:r w:rsidR="00C055CD" w:rsidRPr="0047127A">
        <w:t xml:space="preserve"> where the information </w:t>
      </w:r>
      <w:r w:rsidR="00AE6D9B" w:rsidRPr="0047127A">
        <w:t>w</w:t>
      </w:r>
      <w:r w:rsidR="004022FB" w:rsidRPr="0047127A">
        <w:t>as</w:t>
      </w:r>
      <w:r w:rsidR="00AE6D9B" w:rsidRPr="0047127A">
        <w:t xml:space="preserve"> </w:t>
      </w:r>
      <w:r w:rsidR="00C055CD" w:rsidRPr="0047127A">
        <w:t>filed</w:t>
      </w:r>
      <w:r w:rsidR="00440F0D" w:rsidRPr="0047127A">
        <w:t>.  (</w:t>
      </w:r>
      <w:r w:rsidR="005461AB" w:rsidRPr="0047127A">
        <w:rPr>
          <w:i/>
          <w:iCs/>
        </w:rPr>
        <w:t>Henson</w:t>
      </w:r>
      <w:r w:rsidR="005461AB" w:rsidRPr="0047127A">
        <w:t>, at p. 5</w:t>
      </w:r>
      <w:r w:rsidR="00C055CD" w:rsidRPr="0047127A">
        <w:t>05</w:t>
      </w:r>
      <w:r w:rsidR="00440F0D" w:rsidRPr="0047127A">
        <w:t xml:space="preserve">.)  The question the </w:t>
      </w:r>
      <w:r w:rsidR="0022020E" w:rsidRPr="0047127A">
        <w:t xml:space="preserve">majority </w:t>
      </w:r>
      <w:r w:rsidRPr="0047127A">
        <w:t xml:space="preserve">then </w:t>
      </w:r>
      <w:r w:rsidR="00440F0D" w:rsidRPr="0047127A">
        <w:t>sought to answer is whether</w:t>
      </w:r>
      <w:r w:rsidR="00057F29" w:rsidRPr="0047127A">
        <w:t xml:space="preserve"> </w:t>
      </w:r>
      <w:r w:rsidR="00440F0D" w:rsidRPr="0047127A">
        <w:t>the phrase “in the same court” continue</w:t>
      </w:r>
      <w:r w:rsidR="00E26F6D" w:rsidRPr="0047127A">
        <w:t>d</w:t>
      </w:r>
      <w:r w:rsidR="00440F0D" w:rsidRPr="0047127A">
        <w:t xml:space="preserve"> to </w:t>
      </w:r>
      <w:r w:rsidR="0022020E" w:rsidRPr="0047127A">
        <w:t xml:space="preserve">serve essentially </w:t>
      </w:r>
      <w:r w:rsidR="00057F29" w:rsidRPr="0047127A">
        <w:t xml:space="preserve">the same </w:t>
      </w:r>
      <w:r w:rsidR="0022020E" w:rsidRPr="0047127A">
        <w:t xml:space="preserve">role </w:t>
      </w:r>
      <w:r w:rsidR="00440F0D" w:rsidRPr="0047127A">
        <w:rPr>
          <w:i/>
          <w:iCs/>
        </w:rPr>
        <w:t>after court unification</w:t>
      </w:r>
      <w:r w:rsidR="00440F0D" w:rsidRPr="0047127A">
        <w:t xml:space="preserve">.  The </w:t>
      </w:r>
      <w:r w:rsidR="0022020E" w:rsidRPr="0047127A">
        <w:t xml:space="preserve">majority </w:t>
      </w:r>
      <w:r w:rsidR="00440F0D" w:rsidRPr="0047127A">
        <w:t xml:space="preserve">concluded that it did, arguing that (1) courts favor an interpretation of statutory language that gives effect to that language, and (2) court unification was intended to </w:t>
      </w:r>
      <w:r w:rsidR="000036CF" w:rsidRPr="0047127A">
        <w:t xml:space="preserve">effect </w:t>
      </w:r>
      <w:r w:rsidR="00440F0D" w:rsidRPr="0047127A">
        <w:t>a change in the administration of the courts, not a change in criminal procedure.</w:t>
      </w:r>
      <w:r w:rsidR="0022020E" w:rsidRPr="0047127A">
        <w:t xml:space="preserve">  On that basis, the </w:t>
      </w:r>
      <w:r w:rsidRPr="0047127A">
        <w:t xml:space="preserve">Court of Appeal </w:t>
      </w:r>
      <w:r w:rsidR="0022020E" w:rsidRPr="0047127A">
        <w:t xml:space="preserve">majority </w:t>
      </w:r>
      <w:r w:rsidR="00076377" w:rsidRPr="0047127A">
        <w:t>hel</w:t>
      </w:r>
      <w:r w:rsidR="0022020E" w:rsidRPr="0047127A">
        <w:t>d that after court unification, a district attorney does not need court approval to consolidat</w:t>
      </w:r>
      <w:r w:rsidR="002B22CA" w:rsidRPr="0047127A">
        <w:t>e</w:t>
      </w:r>
      <w:r w:rsidR="0022020E" w:rsidRPr="0047127A">
        <w:t xml:space="preserve"> two felony complaints </w:t>
      </w:r>
      <w:r w:rsidR="002B22CA" w:rsidRPr="0047127A">
        <w:t xml:space="preserve">into a single information </w:t>
      </w:r>
      <w:r w:rsidR="0022020E" w:rsidRPr="0047127A">
        <w:t xml:space="preserve">because the magistrate </w:t>
      </w:r>
      <w:r w:rsidR="0022020E" w:rsidRPr="0047127A">
        <w:lastRenderedPageBreak/>
        <w:t xml:space="preserve">stage of the proceeding </w:t>
      </w:r>
      <w:r w:rsidR="00AE6D9B" w:rsidRPr="0047127A">
        <w:t xml:space="preserve">can be </w:t>
      </w:r>
      <w:r w:rsidR="002B22CA" w:rsidRPr="0047127A">
        <w:t>treated as if it were</w:t>
      </w:r>
      <w:r w:rsidR="005461AB" w:rsidRPr="0047127A">
        <w:t xml:space="preserve"> </w:t>
      </w:r>
      <w:r w:rsidRPr="0047127A">
        <w:t xml:space="preserve">occurring in </w:t>
      </w:r>
      <w:r w:rsidR="005461AB" w:rsidRPr="0047127A">
        <w:t>a different court</w:t>
      </w:r>
      <w:r w:rsidR="00CD4D36" w:rsidRPr="0047127A">
        <w:t xml:space="preserve"> </w:t>
      </w:r>
      <w:r w:rsidR="005461AB" w:rsidRPr="0047127A">
        <w:t xml:space="preserve">from the trial </w:t>
      </w:r>
      <w:r w:rsidR="000036CF" w:rsidRPr="0047127A">
        <w:t xml:space="preserve">court </w:t>
      </w:r>
      <w:r w:rsidR="005461AB" w:rsidRPr="0047127A">
        <w:t>stage of the proceeding</w:t>
      </w:r>
      <w:r w:rsidR="0022020E" w:rsidRPr="0047127A">
        <w:t>.</w:t>
      </w:r>
      <w:r w:rsidR="005461AB" w:rsidRPr="0047127A">
        <w:t xml:space="preserve">  (</w:t>
      </w:r>
      <w:r w:rsidR="005461AB" w:rsidRPr="0047127A">
        <w:rPr>
          <w:i/>
          <w:iCs/>
        </w:rPr>
        <w:t>Id</w:t>
      </w:r>
      <w:r w:rsidR="005461AB" w:rsidRPr="0047127A">
        <w:t>. at pp. 507–510.)</w:t>
      </w:r>
    </w:p>
    <w:p w14:paraId="4781D26E" w14:textId="7A6B5372" w:rsidR="00057F29" w:rsidRPr="0047127A" w:rsidRDefault="00DC215F" w:rsidP="0047127A">
      <w:pPr>
        <w:tabs>
          <w:tab w:val="left" w:pos="1440"/>
        </w:tabs>
        <w:ind w:firstLine="720"/>
      </w:pPr>
      <w:r w:rsidRPr="0047127A">
        <w:t xml:space="preserve">But </w:t>
      </w:r>
      <w:r w:rsidR="00057F29" w:rsidRPr="0047127A">
        <w:t>the Court of Appeal</w:t>
      </w:r>
      <w:r w:rsidRPr="0047127A">
        <w:t xml:space="preserve"> </w:t>
      </w:r>
      <w:r w:rsidR="00057F29" w:rsidRPr="0047127A">
        <w:t xml:space="preserve">overlooked the fact that before court unification, the felony complaint that initiated </w:t>
      </w:r>
      <w:r w:rsidR="000036CF" w:rsidRPr="0047127A">
        <w:t xml:space="preserve">the </w:t>
      </w:r>
      <w:r w:rsidR="00057F29" w:rsidRPr="0047127A">
        <w:t xml:space="preserve">magistrate proceeding was not filed in the municipal court or in </w:t>
      </w:r>
      <w:r w:rsidR="00057F29" w:rsidRPr="0047127A">
        <w:rPr>
          <w:i/>
          <w:iCs/>
        </w:rPr>
        <w:t>any</w:t>
      </w:r>
      <w:r w:rsidR="00057F29" w:rsidRPr="0047127A">
        <w:t xml:space="preserve"> court; rather, it was “filed with the magistrate” (§ 806), and that continues to be true after court unification (</w:t>
      </w:r>
      <w:r w:rsidR="00057F29" w:rsidRPr="0047127A">
        <w:rPr>
          <w:i/>
          <w:iCs/>
        </w:rPr>
        <w:t>ibid</w:t>
      </w:r>
      <w:r w:rsidR="00057F29" w:rsidRPr="0047127A">
        <w:t>.).  The</w:t>
      </w:r>
      <w:r w:rsidR="00FE2751" w:rsidRPr="0047127A">
        <w:t>refore,</w:t>
      </w:r>
      <w:r w:rsidR="00057F29" w:rsidRPr="0047127A">
        <w:t xml:space="preserve"> </w:t>
      </w:r>
      <w:r w:rsidR="006C2050" w:rsidRPr="0047127A">
        <w:t xml:space="preserve">the </w:t>
      </w:r>
      <w:r w:rsidR="00057F29" w:rsidRPr="0047127A">
        <w:t xml:space="preserve">phrase “in the same court” was not added to section 954 to </w:t>
      </w:r>
      <w:r w:rsidR="00E26F6D" w:rsidRPr="0047127A">
        <w:t>distinguish between magistrate proceedings and superior court proceedings</w:t>
      </w:r>
      <w:r w:rsidR="00D84DE0" w:rsidRPr="0047127A">
        <w:t xml:space="preserve"> in felony cases</w:t>
      </w:r>
      <w:r w:rsidR="00730F2A">
        <w:t>, as the Court of Appeal concluded</w:t>
      </w:r>
      <w:r w:rsidR="00E26F6D" w:rsidRPr="0047127A">
        <w:t xml:space="preserve">.  Rather, </w:t>
      </w:r>
      <w:r w:rsidR="00FE2751" w:rsidRPr="0047127A">
        <w:t xml:space="preserve">as discussed </w:t>
      </w:r>
      <w:r w:rsidRPr="0047127A">
        <w:t>above</w:t>
      </w:r>
      <w:r w:rsidR="00FE2751" w:rsidRPr="0047127A">
        <w:t xml:space="preserve">, </w:t>
      </w:r>
      <w:r w:rsidR="00E26F6D" w:rsidRPr="0047127A">
        <w:t xml:space="preserve">it was added </w:t>
      </w:r>
      <w:r w:rsidR="00057F29" w:rsidRPr="0047127A">
        <w:t xml:space="preserve">to section 954 to prevent the superior court from consolidating a misdemeanor complaint with a felony information, </w:t>
      </w:r>
      <w:r w:rsidR="005461AB" w:rsidRPr="0047127A">
        <w:t xml:space="preserve">which would </w:t>
      </w:r>
      <w:r w:rsidR="004F49E1" w:rsidRPr="0047127A">
        <w:t xml:space="preserve">have </w:t>
      </w:r>
      <w:r w:rsidR="005461AB" w:rsidRPr="0047127A">
        <w:t>e</w:t>
      </w:r>
      <w:r w:rsidR="00057F29" w:rsidRPr="0047127A">
        <w:t>rod</w:t>
      </w:r>
      <w:r w:rsidR="005461AB" w:rsidRPr="0047127A">
        <w:t>e</w:t>
      </w:r>
      <w:r w:rsidR="004F49E1" w:rsidRPr="0047127A">
        <w:t>d</w:t>
      </w:r>
      <w:r w:rsidR="00057F29" w:rsidRPr="0047127A">
        <w:t xml:space="preserve"> the jurisdictional boundary between the</w:t>
      </w:r>
      <w:r w:rsidRPr="0047127A">
        <w:t xml:space="preserve"> </w:t>
      </w:r>
      <w:r w:rsidR="00057F29" w:rsidRPr="0047127A">
        <w:t>superior court</w:t>
      </w:r>
      <w:r w:rsidR="000036CF" w:rsidRPr="0047127A">
        <w:t>s</w:t>
      </w:r>
      <w:r w:rsidRPr="0047127A">
        <w:t xml:space="preserve"> and the </w:t>
      </w:r>
      <w:r w:rsidR="000036CF" w:rsidRPr="0047127A">
        <w:t>inferior courts</w:t>
      </w:r>
      <w:r w:rsidR="00057F29" w:rsidRPr="0047127A">
        <w:t>.</w:t>
      </w:r>
      <w:r w:rsidR="00057F29" w:rsidRPr="0047127A">
        <w:rPr>
          <w:rStyle w:val="FootnoteReference"/>
        </w:rPr>
        <w:footnoteReference w:id="17"/>
      </w:r>
    </w:p>
    <w:p w14:paraId="5EEC9787" w14:textId="5165ABD8" w:rsidR="007F15EC" w:rsidRPr="0047127A" w:rsidRDefault="00440F0D" w:rsidP="0047127A">
      <w:pPr>
        <w:tabs>
          <w:tab w:val="left" w:pos="1440"/>
        </w:tabs>
        <w:ind w:firstLine="720"/>
      </w:pPr>
      <w:r w:rsidRPr="0047127A">
        <w:t xml:space="preserve">But that error aside, </w:t>
      </w:r>
      <w:r w:rsidR="002B35E4" w:rsidRPr="0047127A">
        <w:t xml:space="preserve">we </w:t>
      </w:r>
      <w:r w:rsidR="00730F2A">
        <w:t xml:space="preserve">also disagree with </w:t>
      </w:r>
      <w:r w:rsidRPr="0047127A">
        <w:t>the Court of Appeal’s conclusion that</w:t>
      </w:r>
      <w:r w:rsidR="00596C7B" w:rsidRPr="0047127A">
        <w:t xml:space="preserve"> section 954’s consolidation clause</w:t>
      </w:r>
      <w:r w:rsidR="004364DA" w:rsidRPr="0047127A">
        <w:t xml:space="preserve">, by defining the circumstances in which a court </w:t>
      </w:r>
      <w:r w:rsidR="002B35E4" w:rsidRPr="0047127A">
        <w:t xml:space="preserve">is permitted to </w:t>
      </w:r>
      <w:r w:rsidR="004364DA" w:rsidRPr="0047127A">
        <w:t xml:space="preserve">consolidate pleadings, implicitly authorizes a district attorney </w:t>
      </w:r>
      <w:r w:rsidR="004364DA" w:rsidRPr="0047127A">
        <w:lastRenderedPageBreak/>
        <w:t xml:space="preserve">to </w:t>
      </w:r>
      <w:r w:rsidR="002B35E4" w:rsidRPr="0047127A">
        <w:t xml:space="preserve">consolidate pleadings without court approval </w:t>
      </w:r>
      <w:r w:rsidR="004364DA" w:rsidRPr="0047127A">
        <w:t xml:space="preserve">in all other circumstances.  </w:t>
      </w:r>
      <w:r w:rsidR="00596C7B" w:rsidRPr="0047127A">
        <w:t xml:space="preserve">(See </w:t>
      </w:r>
      <w:r w:rsidR="00596C7B" w:rsidRPr="0047127A">
        <w:rPr>
          <w:i/>
          <w:iCs/>
        </w:rPr>
        <w:t>Henson</w:t>
      </w:r>
      <w:r w:rsidR="00596C7B" w:rsidRPr="0047127A">
        <w:t xml:space="preserve">, </w:t>
      </w:r>
      <w:r w:rsidR="00596C7B" w:rsidRPr="0047127A">
        <w:rPr>
          <w:i/>
          <w:iCs/>
        </w:rPr>
        <w:t>supra</w:t>
      </w:r>
      <w:r w:rsidR="00596C7B" w:rsidRPr="0047127A">
        <w:t xml:space="preserve">, 28 Cal.App.5th at p. 510.)  </w:t>
      </w:r>
      <w:r w:rsidR="006C2050" w:rsidRPr="0047127A">
        <w:t>In</w:t>
      </w:r>
      <w:r w:rsidRPr="0047127A">
        <w:t xml:space="preserve"> </w:t>
      </w:r>
      <w:r w:rsidR="002B35E4" w:rsidRPr="0047127A">
        <w:t xml:space="preserve">our </w:t>
      </w:r>
      <w:r w:rsidRPr="0047127A">
        <w:t>view</w:t>
      </w:r>
      <w:r w:rsidR="00304696" w:rsidRPr="0047127A">
        <w:t>,</w:t>
      </w:r>
      <w:r w:rsidRPr="0047127A">
        <w:t xml:space="preserve"> the more natural reading of section 954’s consolidation clause</w:t>
      </w:r>
      <w:r w:rsidR="003E757B">
        <w:t> — which provides that “</w:t>
      </w:r>
      <w:r w:rsidR="003E757B" w:rsidRPr="003E757B">
        <w:t xml:space="preserve">the court may order </w:t>
      </w:r>
      <w:r w:rsidR="003E757B">
        <w:t xml:space="preserve">[pleadings] </w:t>
      </w:r>
      <w:r w:rsidR="003E757B" w:rsidRPr="003E757B">
        <w:t>to be consolidated</w:t>
      </w:r>
      <w:r w:rsidR="003E757B">
        <w:t xml:space="preserve">” (§ 954) — </w:t>
      </w:r>
      <w:r w:rsidRPr="0047127A">
        <w:t xml:space="preserve">is that it </w:t>
      </w:r>
      <w:r w:rsidR="004364DA" w:rsidRPr="0047127A">
        <w:t>does not confer any consolidation authority on the district attorney</w:t>
      </w:r>
      <w:r w:rsidR="002B35E4" w:rsidRPr="0047127A">
        <w:t xml:space="preserve">, and therefore </w:t>
      </w:r>
      <w:r w:rsidR="005461AB" w:rsidRPr="0047127A">
        <w:t>the Court of Appeal’s reliance on the consolidation clause was misplaced.</w:t>
      </w:r>
    </w:p>
    <w:p w14:paraId="22CD3026" w14:textId="6F887888" w:rsidR="005A17A8" w:rsidRPr="0047127A" w:rsidRDefault="003E757B" w:rsidP="0047127A">
      <w:pPr>
        <w:tabs>
          <w:tab w:val="left" w:pos="1440"/>
        </w:tabs>
        <w:ind w:firstLine="720"/>
        <w:rPr>
          <w:szCs w:val="26"/>
        </w:rPr>
      </w:pPr>
      <w:r>
        <w:t xml:space="preserve">We further conclude that </w:t>
      </w:r>
      <w:r w:rsidR="00E837E4" w:rsidRPr="0047127A">
        <w:t xml:space="preserve">the </w:t>
      </w:r>
      <w:r w:rsidR="002B35E4" w:rsidRPr="0047127A">
        <w:t>Court of Appeal’s dissent</w:t>
      </w:r>
      <w:r w:rsidR="00E837E4" w:rsidRPr="0047127A">
        <w:t>ing</w:t>
      </w:r>
      <w:r w:rsidR="002B35E4" w:rsidRPr="0047127A">
        <w:t xml:space="preserve"> opinion</w:t>
      </w:r>
      <w:r w:rsidR="00E837E4" w:rsidRPr="0047127A">
        <w:t xml:space="preserve"> is unpersuasive</w:t>
      </w:r>
      <w:r w:rsidR="002B35E4" w:rsidRPr="0047127A">
        <w:t>.  The</w:t>
      </w:r>
      <w:r w:rsidR="00331655" w:rsidRPr="0047127A">
        <w:t xml:space="preserve"> dissent</w:t>
      </w:r>
      <w:r w:rsidR="002B35E4" w:rsidRPr="0047127A">
        <w:t>ing justice</w:t>
      </w:r>
      <w:r w:rsidR="00331655" w:rsidRPr="0047127A">
        <w:t xml:space="preserve"> </w:t>
      </w:r>
      <w:r w:rsidR="00FF0E2E" w:rsidRPr="0047127A">
        <w:t xml:space="preserve">opined </w:t>
      </w:r>
      <w:r w:rsidR="009618F1" w:rsidRPr="0047127A">
        <w:t xml:space="preserve">that the </w:t>
      </w:r>
      <w:r w:rsidR="002B35E4" w:rsidRPr="0047127A">
        <w:t xml:space="preserve">Penal Code </w:t>
      </w:r>
      <w:r w:rsidR="00B40731" w:rsidRPr="0047127A">
        <w:t xml:space="preserve">contemplates the following linear </w:t>
      </w:r>
      <w:r w:rsidR="00331655" w:rsidRPr="0047127A">
        <w:t>pro</w:t>
      </w:r>
      <w:r w:rsidR="004C754A" w:rsidRPr="0047127A">
        <w:t xml:space="preserve">gression </w:t>
      </w:r>
      <w:r w:rsidR="00E837E4" w:rsidRPr="0047127A">
        <w:t>in</w:t>
      </w:r>
      <w:r w:rsidR="00ED23F1" w:rsidRPr="0047127A">
        <w:t xml:space="preserve"> </w:t>
      </w:r>
      <w:r w:rsidR="00D00C82" w:rsidRPr="0047127A">
        <w:t>felony cases</w:t>
      </w:r>
      <w:r w:rsidR="00331655" w:rsidRPr="0047127A">
        <w:t>:</w:t>
      </w:r>
      <w:r w:rsidR="009534F6" w:rsidRPr="0047127A">
        <w:t xml:space="preserve">  </w:t>
      </w:r>
      <w:r w:rsidR="00331655" w:rsidRPr="0047127A">
        <w:t>(1) the filing of a complaint (</w:t>
      </w:r>
      <w:r w:rsidR="009618F1" w:rsidRPr="0047127A">
        <w:t xml:space="preserve">along </w:t>
      </w:r>
      <w:r w:rsidR="007C2D0A" w:rsidRPr="0047127A">
        <w:t xml:space="preserve">with </w:t>
      </w:r>
      <w:r w:rsidR="009618F1" w:rsidRPr="0047127A">
        <w:t xml:space="preserve">the </w:t>
      </w:r>
      <w:r w:rsidR="00331655" w:rsidRPr="0047127A">
        <w:t xml:space="preserve">assignment of a </w:t>
      </w:r>
      <w:r w:rsidR="003349C9" w:rsidRPr="0047127A">
        <w:t xml:space="preserve">single </w:t>
      </w:r>
      <w:r w:rsidR="00331655" w:rsidRPr="0047127A">
        <w:t>case number</w:t>
      </w:r>
      <w:r w:rsidR="007C2D0A" w:rsidRPr="0047127A">
        <w:t xml:space="preserve"> and </w:t>
      </w:r>
      <w:r w:rsidR="009618F1" w:rsidRPr="0047127A">
        <w:t xml:space="preserve">the </w:t>
      </w:r>
      <w:r w:rsidR="007C2D0A" w:rsidRPr="0047127A">
        <w:t xml:space="preserve">creation of a </w:t>
      </w:r>
      <w:r w:rsidR="003349C9" w:rsidRPr="0047127A">
        <w:t xml:space="preserve">single </w:t>
      </w:r>
      <w:r w:rsidR="007C2D0A" w:rsidRPr="0047127A">
        <w:t>case file</w:t>
      </w:r>
      <w:r w:rsidR="00331655" w:rsidRPr="0047127A">
        <w:t>)</w:t>
      </w:r>
      <w:r w:rsidR="00934580">
        <w:t>;</w:t>
      </w:r>
      <w:r w:rsidR="00331655" w:rsidRPr="0047127A">
        <w:t xml:space="preserve"> (2) </w:t>
      </w:r>
      <w:r w:rsidR="00D00C82" w:rsidRPr="0047127A">
        <w:t>the arraignment on the complaint</w:t>
      </w:r>
      <w:r w:rsidR="00934580">
        <w:t>;</w:t>
      </w:r>
      <w:r w:rsidR="00D00C82" w:rsidRPr="0047127A">
        <w:t xml:space="preserve"> (3) </w:t>
      </w:r>
      <w:r w:rsidR="00331655" w:rsidRPr="0047127A">
        <w:t>the preliminary examination</w:t>
      </w:r>
      <w:r w:rsidR="00934580">
        <w:t>;</w:t>
      </w:r>
      <w:r w:rsidR="00331655" w:rsidRPr="0047127A">
        <w:t xml:space="preserve"> (</w:t>
      </w:r>
      <w:r w:rsidR="00D00C82" w:rsidRPr="0047127A">
        <w:t>4</w:t>
      </w:r>
      <w:r w:rsidR="00331655" w:rsidRPr="0047127A">
        <w:t xml:space="preserve">) the </w:t>
      </w:r>
      <w:r w:rsidR="009618F1" w:rsidRPr="0047127A">
        <w:t xml:space="preserve">magistrate’s </w:t>
      </w:r>
      <w:r w:rsidR="00331655" w:rsidRPr="0047127A">
        <w:t>commitment order</w:t>
      </w:r>
      <w:r w:rsidR="00934580">
        <w:t>;</w:t>
      </w:r>
      <w:r w:rsidR="00331655" w:rsidRPr="0047127A">
        <w:t xml:space="preserve"> (</w:t>
      </w:r>
      <w:r w:rsidR="00D00C82" w:rsidRPr="0047127A">
        <w:t>5</w:t>
      </w:r>
      <w:r w:rsidR="00331655" w:rsidRPr="0047127A">
        <w:t xml:space="preserve">) the filing of </w:t>
      </w:r>
      <w:r w:rsidR="000036CF" w:rsidRPr="0047127A">
        <w:t>the</w:t>
      </w:r>
      <w:r w:rsidR="009618F1" w:rsidRPr="0047127A">
        <w:t xml:space="preserve"> </w:t>
      </w:r>
      <w:r w:rsidR="00331655" w:rsidRPr="0047127A">
        <w:t>information</w:t>
      </w:r>
      <w:r w:rsidR="007C2D0A" w:rsidRPr="0047127A">
        <w:t xml:space="preserve"> (having the same case number and case file</w:t>
      </w:r>
      <w:r w:rsidR="009618F1" w:rsidRPr="0047127A">
        <w:t xml:space="preserve"> as the magistrate proceeding</w:t>
      </w:r>
      <w:r w:rsidR="007C2D0A" w:rsidRPr="0047127A">
        <w:t>)</w:t>
      </w:r>
      <w:r w:rsidR="00934580">
        <w:t>;</w:t>
      </w:r>
      <w:r w:rsidR="00331655" w:rsidRPr="0047127A">
        <w:t xml:space="preserve"> (</w:t>
      </w:r>
      <w:r w:rsidR="00D00C82" w:rsidRPr="0047127A">
        <w:t>6</w:t>
      </w:r>
      <w:r w:rsidR="00331655" w:rsidRPr="0047127A">
        <w:t xml:space="preserve">) </w:t>
      </w:r>
      <w:r w:rsidR="008F3342" w:rsidRPr="0047127A">
        <w:t xml:space="preserve">the arraignment on the </w:t>
      </w:r>
      <w:r w:rsidR="008F3342">
        <w:t>information; (7)</w:t>
      </w:r>
      <w:r w:rsidR="008F3342" w:rsidRPr="0047127A">
        <w:t xml:space="preserve"> </w:t>
      </w:r>
      <w:r w:rsidR="009534F6" w:rsidRPr="0047127A">
        <w:t xml:space="preserve">the filing of </w:t>
      </w:r>
      <w:r w:rsidR="00B40731" w:rsidRPr="0047127A">
        <w:t xml:space="preserve">any </w:t>
      </w:r>
      <w:r w:rsidR="009618F1" w:rsidRPr="0047127A">
        <w:t>motions</w:t>
      </w:r>
      <w:r w:rsidR="00934580">
        <w:t>;</w:t>
      </w:r>
      <w:r w:rsidR="009618F1" w:rsidRPr="0047127A">
        <w:t xml:space="preserve"> (</w:t>
      </w:r>
      <w:r w:rsidR="008F3342">
        <w:t>8</w:t>
      </w:r>
      <w:r w:rsidR="009618F1" w:rsidRPr="0047127A">
        <w:t xml:space="preserve">) </w:t>
      </w:r>
      <w:r w:rsidR="00331655" w:rsidRPr="0047127A">
        <w:t>the trial</w:t>
      </w:r>
      <w:r w:rsidR="00934580">
        <w:t>;</w:t>
      </w:r>
      <w:r w:rsidR="007C2D0A" w:rsidRPr="0047127A">
        <w:t xml:space="preserve"> </w:t>
      </w:r>
      <w:r w:rsidR="003349C9" w:rsidRPr="0047127A">
        <w:t>(</w:t>
      </w:r>
      <w:r w:rsidR="008F3342">
        <w:t>9</w:t>
      </w:r>
      <w:r w:rsidR="003349C9" w:rsidRPr="0047127A">
        <w:t>) the verdict</w:t>
      </w:r>
      <w:r w:rsidR="00934580">
        <w:t>;</w:t>
      </w:r>
      <w:r w:rsidR="003349C9" w:rsidRPr="0047127A">
        <w:t xml:space="preserve"> (</w:t>
      </w:r>
      <w:r w:rsidR="008F3342">
        <w:t>10</w:t>
      </w:r>
      <w:r w:rsidR="003349C9" w:rsidRPr="0047127A">
        <w:t xml:space="preserve">) the judgment, </w:t>
      </w:r>
      <w:r w:rsidR="007C2D0A" w:rsidRPr="0047127A">
        <w:t>etc</w:t>
      </w:r>
      <w:r w:rsidR="00331655" w:rsidRPr="0047127A">
        <w:t xml:space="preserve">.  According to </w:t>
      </w:r>
      <w:r w:rsidR="00B40731" w:rsidRPr="0047127A">
        <w:t xml:space="preserve">the </w:t>
      </w:r>
      <w:r w:rsidR="003349C9" w:rsidRPr="0047127A">
        <w:t xml:space="preserve">Court of Appeal </w:t>
      </w:r>
      <w:r w:rsidR="00B40731" w:rsidRPr="0047127A">
        <w:t xml:space="preserve">dissent, section 954’s </w:t>
      </w:r>
      <w:r w:rsidR="00331655" w:rsidRPr="0047127A">
        <w:t>joinder clause operate</w:t>
      </w:r>
      <w:r w:rsidR="00CD55F0" w:rsidRPr="0047127A">
        <w:t xml:space="preserve">s primarily </w:t>
      </w:r>
      <w:r w:rsidR="00331655" w:rsidRPr="0047127A">
        <w:t>at step (1)</w:t>
      </w:r>
      <w:r w:rsidR="009B52FA" w:rsidRPr="0047127A">
        <w:t xml:space="preserve"> in this progression</w:t>
      </w:r>
      <w:r w:rsidR="00331655" w:rsidRPr="0047127A">
        <w:t xml:space="preserve">, </w:t>
      </w:r>
      <w:r w:rsidR="00CD55F0" w:rsidRPr="0047127A">
        <w:t xml:space="preserve">and </w:t>
      </w:r>
      <w:r w:rsidR="00D00C82" w:rsidRPr="0047127A">
        <w:t xml:space="preserve">although it might also </w:t>
      </w:r>
      <w:r w:rsidR="009534F6" w:rsidRPr="0047127A">
        <w:t xml:space="preserve">operate </w:t>
      </w:r>
      <w:r w:rsidR="00CD55F0" w:rsidRPr="0047127A">
        <w:t xml:space="preserve">at </w:t>
      </w:r>
      <w:r w:rsidR="00331655" w:rsidRPr="0047127A">
        <w:t>step (</w:t>
      </w:r>
      <w:r w:rsidR="00D00C82" w:rsidRPr="0047127A">
        <w:t>5</w:t>
      </w:r>
      <w:r w:rsidR="00331655" w:rsidRPr="0047127A">
        <w:t>)</w:t>
      </w:r>
      <w:r w:rsidR="00D00C82" w:rsidRPr="0047127A">
        <w:t xml:space="preserve">, it </w:t>
      </w:r>
      <w:r w:rsidR="00B40731" w:rsidRPr="0047127A">
        <w:t>do</w:t>
      </w:r>
      <w:r w:rsidR="007836B5" w:rsidRPr="0047127A">
        <w:t>es</w:t>
      </w:r>
      <w:r w:rsidR="00B40731" w:rsidRPr="0047127A">
        <w:t xml:space="preserve"> so </w:t>
      </w:r>
      <w:r w:rsidR="00CD55F0" w:rsidRPr="0047127A">
        <w:t xml:space="preserve">only </w:t>
      </w:r>
      <w:r w:rsidR="004C754A" w:rsidRPr="0047127A">
        <w:t xml:space="preserve">when joining </w:t>
      </w:r>
      <w:r w:rsidR="00CD55F0" w:rsidRPr="0047127A">
        <w:t xml:space="preserve">offenses </w:t>
      </w:r>
      <w:r w:rsidR="001F5ED4" w:rsidRPr="0047127A">
        <w:t xml:space="preserve">that were </w:t>
      </w:r>
      <w:r w:rsidR="00123A87" w:rsidRPr="0047127A">
        <w:t xml:space="preserve">already </w:t>
      </w:r>
      <w:r w:rsidR="00CD55F0" w:rsidRPr="0047127A">
        <w:t>joined at step (1)</w:t>
      </w:r>
      <w:r w:rsidR="00331655" w:rsidRPr="0047127A">
        <w:t>.</w:t>
      </w:r>
      <w:r w:rsidR="00A76712" w:rsidRPr="0047127A">
        <w:t xml:space="preserve">  </w:t>
      </w:r>
      <w:r w:rsidR="001C1899" w:rsidRPr="0047127A">
        <w:t>(</w:t>
      </w:r>
      <w:r w:rsidR="00E837E4" w:rsidRPr="0047127A">
        <w:t xml:space="preserve">See </w:t>
      </w:r>
      <w:r w:rsidR="00B74E3E" w:rsidRPr="0047127A">
        <w:rPr>
          <w:i/>
          <w:iCs/>
        </w:rPr>
        <w:t>Henson</w:t>
      </w:r>
      <w:r w:rsidR="00B74E3E" w:rsidRPr="0047127A">
        <w:t xml:space="preserve">, </w:t>
      </w:r>
      <w:r w:rsidR="00B74E3E" w:rsidRPr="0047127A">
        <w:rPr>
          <w:i/>
          <w:iCs/>
        </w:rPr>
        <w:t>supra</w:t>
      </w:r>
      <w:r w:rsidR="00B74E3E" w:rsidRPr="0047127A">
        <w:t>, 28 Cal.App.5th at p</w:t>
      </w:r>
      <w:r w:rsidR="00780F03" w:rsidRPr="0047127A">
        <w:t>p</w:t>
      </w:r>
      <w:r w:rsidR="00B74E3E" w:rsidRPr="0047127A">
        <w:t>. 525</w:t>
      </w:r>
      <w:r w:rsidR="00780F03" w:rsidRPr="0047127A">
        <w:t>–52</w:t>
      </w:r>
      <w:r w:rsidR="00560201" w:rsidRPr="0047127A">
        <w:t>7, 532</w:t>
      </w:r>
      <w:r w:rsidR="00B74E3E" w:rsidRPr="0047127A">
        <w:t>, dis. opn. of Smith, J.</w:t>
      </w:r>
      <w:r w:rsidR="001C1899" w:rsidRPr="0047127A">
        <w:t>)</w:t>
      </w:r>
      <w:r w:rsidR="00E837E4" w:rsidRPr="0047127A">
        <w:t xml:space="preserve">  </w:t>
      </w:r>
      <w:r w:rsidR="00FF0E2E" w:rsidRPr="0047127A">
        <w:t>We reject th</w:t>
      </w:r>
      <w:r w:rsidR="00604F72" w:rsidRPr="0047127A">
        <w:t xml:space="preserve">e dissent’s </w:t>
      </w:r>
      <w:r w:rsidR="00FF0E2E" w:rsidRPr="0047127A">
        <w:t>reasoning</w:t>
      </w:r>
      <w:r w:rsidR="001C1899" w:rsidRPr="0047127A">
        <w:t xml:space="preserve"> </w:t>
      </w:r>
      <w:r w:rsidR="00FF0E2E" w:rsidRPr="0047127A">
        <w:t xml:space="preserve">because </w:t>
      </w:r>
      <w:r w:rsidR="00D55480" w:rsidRPr="0047127A">
        <w:t xml:space="preserve">it finds no support in the text of </w:t>
      </w:r>
      <w:r w:rsidR="00331655" w:rsidRPr="0047127A">
        <w:t>section 954</w:t>
      </w:r>
      <w:r w:rsidR="008A6664">
        <w:t>,</w:t>
      </w:r>
      <w:r w:rsidR="009534F6" w:rsidRPr="0047127A">
        <w:t xml:space="preserve"> and </w:t>
      </w:r>
      <w:r w:rsidR="00D55480" w:rsidRPr="0047127A">
        <w:t xml:space="preserve">because </w:t>
      </w:r>
      <w:r w:rsidR="009534F6" w:rsidRPr="0047127A">
        <w:t xml:space="preserve">it fails to </w:t>
      </w:r>
      <w:r w:rsidR="008A6664">
        <w:t>address</w:t>
      </w:r>
      <w:r w:rsidR="00FF0E2E" w:rsidRPr="0047127A">
        <w:t xml:space="preserve">, as discussed above, </w:t>
      </w:r>
      <w:r w:rsidR="009534F6" w:rsidRPr="0047127A">
        <w:t xml:space="preserve">that magistrate proceedings are </w:t>
      </w:r>
      <w:r w:rsidR="00C20EED" w:rsidRPr="0047127A">
        <w:t xml:space="preserve">institutionally </w:t>
      </w:r>
      <w:r w:rsidR="009534F6" w:rsidRPr="0047127A">
        <w:t xml:space="preserve">distinct from trial </w:t>
      </w:r>
      <w:r w:rsidR="00F14446" w:rsidRPr="0047127A">
        <w:t xml:space="preserve">court </w:t>
      </w:r>
      <w:r w:rsidR="009534F6" w:rsidRPr="0047127A">
        <w:t>proceedings.</w:t>
      </w:r>
      <w:r w:rsidR="00C7134A" w:rsidRPr="0047127A">
        <w:t xml:space="preserve">  </w:t>
      </w:r>
      <w:r w:rsidR="007836B5" w:rsidRPr="0047127A">
        <w:rPr>
          <w:szCs w:val="26"/>
        </w:rPr>
        <w:t>B</w:t>
      </w:r>
      <w:r w:rsidR="00D24C93" w:rsidRPr="0047127A">
        <w:rPr>
          <w:szCs w:val="26"/>
        </w:rPr>
        <w:t xml:space="preserve">ecause </w:t>
      </w:r>
      <w:r w:rsidR="0048518A" w:rsidRPr="0047127A">
        <w:rPr>
          <w:szCs w:val="26"/>
        </w:rPr>
        <w:t>th</w:t>
      </w:r>
      <w:r w:rsidR="00006649" w:rsidRPr="0047127A">
        <w:rPr>
          <w:szCs w:val="26"/>
        </w:rPr>
        <w:t>e</w:t>
      </w:r>
      <w:r w:rsidR="0048518A" w:rsidRPr="0047127A">
        <w:rPr>
          <w:szCs w:val="26"/>
        </w:rPr>
        <w:t xml:space="preserve"> </w:t>
      </w:r>
      <w:r w:rsidR="00C826C1" w:rsidRPr="0047127A">
        <w:rPr>
          <w:szCs w:val="26"/>
        </w:rPr>
        <w:t>information</w:t>
      </w:r>
      <w:r w:rsidR="002D501B" w:rsidRPr="0047127A">
        <w:rPr>
          <w:szCs w:val="26"/>
        </w:rPr>
        <w:t xml:space="preserve"> in this case</w:t>
      </w:r>
      <w:r w:rsidR="00BA54EA" w:rsidRPr="0047127A">
        <w:rPr>
          <w:szCs w:val="26"/>
        </w:rPr>
        <w:t xml:space="preserve"> initiated </w:t>
      </w:r>
      <w:r w:rsidR="00AC5256" w:rsidRPr="0047127A">
        <w:rPr>
          <w:szCs w:val="26"/>
        </w:rPr>
        <w:t xml:space="preserve">a new proceeding </w:t>
      </w:r>
      <w:r w:rsidR="007D7F0B" w:rsidRPr="0047127A">
        <w:rPr>
          <w:szCs w:val="26"/>
        </w:rPr>
        <w:t xml:space="preserve">in the superior court — one </w:t>
      </w:r>
      <w:r w:rsidR="00AC5256" w:rsidRPr="0047127A">
        <w:rPr>
          <w:szCs w:val="26"/>
        </w:rPr>
        <w:t xml:space="preserve">that was institutionally distinct from the magistrate proceeding — </w:t>
      </w:r>
      <w:r w:rsidR="00941C7E" w:rsidRPr="0047127A">
        <w:rPr>
          <w:szCs w:val="26"/>
        </w:rPr>
        <w:t xml:space="preserve">the district attorney </w:t>
      </w:r>
      <w:r w:rsidR="002D501B" w:rsidRPr="0047127A">
        <w:rPr>
          <w:szCs w:val="26"/>
        </w:rPr>
        <w:t xml:space="preserve">was free, under section 954’s joinder clause, </w:t>
      </w:r>
      <w:r w:rsidR="00941C7E" w:rsidRPr="0047127A">
        <w:rPr>
          <w:szCs w:val="26"/>
        </w:rPr>
        <w:t xml:space="preserve">to </w:t>
      </w:r>
      <w:r w:rsidR="00941C7E" w:rsidRPr="0047127A">
        <w:rPr>
          <w:szCs w:val="26"/>
        </w:rPr>
        <w:lastRenderedPageBreak/>
        <w:t xml:space="preserve">join </w:t>
      </w:r>
      <w:r w:rsidR="00AC5256" w:rsidRPr="0047127A">
        <w:rPr>
          <w:szCs w:val="26"/>
        </w:rPr>
        <w:t xml:space="preserve">in the information </w:t>
      </w:r>
      <w:r w:rsidR="00941C7E" w:rsidRPr="0047127A">
        <w:rPr>
          <w:szCs w:val="26"/>
        </w:rPr>
        <w:t xml:space="preserve">any appropriately related offenses without </w:t>
      </w:r>
      <w:r w:rsidR="002E04A4" w:rsidRPr="0047127A">
        <w:rPr>
          <w:szCs w:val="26"/>
        </w:rPr>
        <w:t xml:space="preserve">the necessity of </w:t>
      </w:r>
      <w:r w:rsidR="00DB14E2" w:rsidRPr="0047127A">
        <w:rPr>
          <w:szCs w:val="26"/>
        </w:rPr>
        <w:t xml:space="preserve">obtaining a </w:t>
      </w:r>
      <w:r w:rsidR="0048518A" w:rsidRPr="0047127A">
        <w:rPr>
          <w:szCs w:val="26"/>
        </w:rPr>
        <w:t xml:space="preserve">court </w:t>
      </w:r>
      <w:r w:rsidR="00DB14E2" w:rsidRPr="0047127A">
        <w:rPr>
          <w:szCs w:val="26"/>
        </w:rPr>
        <w:t>order</w:t>
      </w:r>
      <w:r w:rsidR="002D501B" w:rsidRPr="0047127A">
        <w:rPr>
          <w:szCs w:val="26"/>
        </w:rPr>
        <w:t>.</w:t>
      </w:r>
      <w:r w:rsidR="0004486E">
        <w:rPr>
          <w:szCs w:val="26"/>
        </w:rPr>
        <w:t xml:space="preserve">  (</w:t>
      </w:r>
      <w:r w:rsidR="0004486E">
        <w:t xml:space="preserve">See p. 23, fn. 13, </w:t>
      </w:r>
      <w:r w:rsidR="0004486E" w:rsidRPr="00F66F97">
        <w:rPr>
          <w:i/>
          <w:iCs/>
        </w:rPr>
        <w:t>ante</w:t>
      </w:r>
      <w:r w:rsidR="0004486E">
        <w:t xml:space="preserve"> [discussing the dis. opn. of Kruger, J.].)</w:t>
      </w:r>
      <w:r w:rsidR="001706CD">
        <w:rPr>
          <w:rStyle w:val="FootnoteReference"/>
        </w:rPr>
        <w:footnoteReference w:id="18"/>
      </w:r>
    </w:p>
    <w:p w14:paraId="3A58453C" w14:textId="04F3F3C7" w:rsidR="00994F59" w:rsidRPr="0047127A" w:rsidRDefault="00912216" w:rsidP="0047127A">
      <w:pPr>
        <w:tabs>
          <w:tab w:val="left" w:pos="1440"/>
        </w:tabs>
        <w:ind w:firstLine="720"/>
      </w:pPr>
      <w:r w:rsidRPr="0047127A">
        <w:t xml:space="preserve">In </w:t>
      </w:r>
      <w:r w:rsidR="000F344E">
        <w:t xml:space="preserve">support of </w:t>
      </w:r>
      <w:r w:rsidRPr="0047127A">
        <w:t xml:space="preserve">its </w:t>
      </w:r>
      <w:bookmarkStart w:id="16" w:name="_Hlk109134961"/>
      <w:r w:rsidR="0059478C" w:rsidRPr="0047127A">
        <w:t xml:space="preserve">linear </w:t>
      </w:r>
      <w:r w:rsidRPr="0047127A">
        <w:t>one</w:t>
      </w:r>
      <w:r w:rsidR="000F344E">
        <w:t> </w:t>
      </w:r>
      <w:r w:rsidRPr="0047127A">
        <w:t>complaint</w:t>
      </w:r>
      <w:r w:rsidR="000F344E">
        <w:t>/</w:t>
      </w:r>
      <w:r w:rsidRPr="0047127A">
        <w:t>one</w:t>
      </w:r>
      <w:r w:rsidR="000F344E">
        <w:t> </w:t>
      </w:r>
      <w:r w:rsidRPr="0047127A">
        <w:t>information model</w:t>
      </w:r>
      <w:bookmarkEnd w:id="16"/>
      <w:r w:rsidR="008F3342">
        <w:t xml:space="preserve"> of criminal procedure</w:t>
      </w:r>
      <w:r w:rsidRPr="0047127A">
        <w:t>, t</w:t>
      </w:r>
      <w:r w:rsidR="00330ECC" w:rsidRPr="0047127A">
        <w:t xml:space="preserve">he </w:t>
      </w:r>
      <w:r w:rsidR="00226169" w:rsidRPr="0047127A">
        <w:t xml:space="preserve">Court of Appeal </w:t>
      </w:r>
      <w:r w:rsidR="00144606" w:rsidRPr="0047127A">
        <w:t>dissent reli</w:t>
      </w:r>
      <w:r w:rsidR="00330ECC" w:rsidRPr="0047127A">
        <w:t xml:space="preserve">ed </w:t>
      </w:r>
      <w:r w:rsidRPr="0047127A">
        <w:t xml:space="preserve">heavily </w:t>
      </w:r>
      <w:r w:rsidR="00330ECC" w:rsidRPr="0047127A">
        <w:t xml:space="preserve">on </w:t>
      </w:r>
      <w:r w:rsidR="00144606" w:rsidRPr="0047127A">
        <w:t>section 739</w:t>
      </w:r>
      <w:r w:rsidR="007836B5" w:rsidRPr="0047127A">
        <w:t xml:space="preserve">.  </w:t>
      </w:r>
      <w:r w:rsidR="008F3342">
        <w:t>As noted, s</w:t>
      </w:r>
      <w:r w:rsidR="00994F59" w:rsidRPr="0047127A">
        <w:t xml:space="preserve">ection 739 provides:  “When a defendant has been examined and committed . . . , it shall be the duty of the district attorney . . . to file in the superior court . . . an information against the defendant which may charge the defendant with either the offense or offenses named in </w:t>
      </w:r>
      <w:r w:rsidR="00994F59" w:rsidRPr="0047127A">
        <w:rPr>
          <w:i/>
          <w:iCs/>
        </w:rPr>
        <w:t>the</w:t>
      </w:r>
      <w:r w:rsidR="00994F59" w:rsidRPr="0047127A">
        <w:t xml:space="preserve"> order of commitment or any offense or offenses shown by </w:t>
      </w:r>
      <w:r w:rsidR="00994F59" w:rsidRPr="0047127A">
        <w:rPr>
          <w:i/>
          <w:iCs/>
        </w:rPr>
        <w:t>the</w:t>
      </w:r>
      <w:r w:rsidR="00994F59" w:rsidRPr="0047127A">
        <w:t xml:space="preserve"> evidence taken before </w:t>
      </w:r>
      <w:r w:rsidR="00994F59" w:rsidRPr="0047127A">
        <w:rPr>
          <w:i/>
          <w:iCs/>
        </w:rPr>
        <w:t>the</w:t>
      </w:r>
      <w:r w:rsidR="00994F59" w:rsidRPr="0047127A">
        <w:t xml:space="preserve"> magistrate to have been committed.”  (Italics added.)  </w:t>
      </w:r>
      <w:r w:rsidR="003E113B" w:rsidRPr="0047127A">
        <w:t>The dissent</w:t>
      </w:r>
      <w:r w:rsidR="001D1276" w:rsidRPr="0047127A">
        <w:t xml:space="preserve">ing justice </w:t>
      </w:r>
      <w:r w:rsidR="003E113B" w:rsidRPr="0047127A">
        <w:t xml:space="preserve">reasoned that </w:t>
      </w:r>
      <w:r w:rsidR="00994F59" w:rsidRPr="0047127A">
        <w:t xml:space="preserve">if two felony complaints </w:t>
      </w:r>
      <w:r w:rsidR="003E113B" w:rsidRPr="0047127A">
        <w:t xml:space="preserve">are </w:t>
      </w:r>
      <w:r w:rsidR="00994F59" w:rsidRPr="0047127A">
        <w:t>filed</w:t>
      </w:r>
      <w:r w:rsidR="00450F3C" w:rsidRPr="0047127A">
        <w:t>,</w:t>
      </w:r>
      <w:r w:rsidR="001A481D" w:rsidRPr="0047127A">
        <w:t xml:space="preserve"> </w:t>
      </w:r>
      <w:r w:rsidR="00994F59" w:rsidRPr="0047127A">
        <w:t>and if, as a result, two different magistrates issue two different commitment orders</w:t>
      </w:r>
      <w:r w:rsidR="003E113B" w:rsidRPr="0047127A">
        <w:t xml:space="preserve"> based on two different </w:t>
      </w:r>
      <w:r w:rsidR="002543D9" w:rsidRPr="0047127A">
        <w:t xml:space="preserve">evidentiary presentations occurring </w:t>
      </w:r>
      <w:r w:rsidR="003E113B" w:rsidRPr="0047127A">
        <w:t>at two different preliminary examinations</w:t>
      </w:r>
      <w:r w:rsidR="00994F59" w:rsidRPr="0047127A">
        <w:t xml:space="preserve">, then the </w:t>
      </w:r>
      <w:r w:rsidR="003E113B" w:rsidRPr="0047127A">
        <w:t xml:space="preserve">various </w:t>
      </w:r>
      <w:r w:rsidR="00994F59" w:rsidRPr="0047127A">
        <w:t>offenses</w:t>
      </w:r>
      <w:r w:rsidR="003E113B" w:rsidRPr="0047127A">
        <w:t xml:space="preserve"> named </w:t>
      </w:r>
      <w:r w:rsidR="00994F59" w:rsidRPr="0047127A">
        <w:t xml:space="preserve">in the </w:t>
      </w:r>
      <w:r w:rsidR="00450F3C" w:rsidRPr="0047127A">
        <w:t xml:space="preserve">different </w:t>
      </w:r>
      <w:r w:rsidR="00994F59" w:rsidRPr="0047127A">
        <w:t xml:space="preserve">commitment orders </w:t>
      </w:r>
      <w:r w:rsidR="003E113B" w:rsidRPr="0047127A">
        <w:t xml:space="preserve">(or shown by the </w:t>
      </w:r>
      <w:r w:rsidR="009D53EB" w:rsidRPr="0047127A">
        <w:t>differe</w:t>
      </w:r>
      <w:r w:rsidR="00450F3C" w:rsidRPr="0047127A">
        <w:t xml:space="preserve">nt </w:t>
      </w:r>
      <w:r w:rsidR="003E113B" w:rsidRPr="0047127A">
        <w:t>eviden</w:t>
      </w:r>
      <w:r w:rsidR="002543D9" w:rsidRPr="0047127A">
        <w:t>tiary presentations</w:t>
      </w:r>
      <w:r w:rsidR="003E113B" w:rsidRPr="0047127A">
        <w:t xml:space="preserve">) </w:t>
      </w:r>
      <w:r w:rsidR="00994F59" w:rsidRPr="0047127A">
        <w:t>c</w:t>
      </w:r>
      <w:r w:rsidR="003E113B" w:rsidRPr="0047127A">
        <w:t xml:space="preserve">annot </w:t>
      </w:r>
      <w:r w:rsidR="00994F59" w:rsidRPr="0047127A">
        <w:t xml:space="preserve">be joined in a single information because, </w:t>
      </w:r>
      <w:r w:rsidR="000F7031" w:rsidRPr="0047127A">
        <w:t xml:space="preserve">under </w:t>
      </w:r>
      <w:r w:rsidR="00994F59" w:rsidRPr="0047127A">
        <w:t xml:space="preserve">section 739, an information can only charge offenses </w:t>
      </w:r>
      <w:r w:rsidR="003E113B" w:rsidRPr="0047127A">
        <w:t xml:space="preserve">named in “the” commitment order or </w:t>
      </w:r>
      <w:r w:rsidR="00994F59" w:rsidRPr="0047127A">
        <w:t xml:space="preserve">shown by </w:t>
      </w:r>
      <w:r w:rsidR="003E113B" w:rsidRPr="0047127A">
        <w:t>“</w:t>
      </w:r>
      <w:r w:rsidR="00994F59" w:rsidRPr="0047127A">
        <w:t>the</w:t>
      </w:r>
      <w:r w:rsidR="003E113B" w:rsidRPr="0047127A">
        <w:t>”</w:t>
      </w:r>
      <w:r w:rsidR="00994F59" w:rsidRPr="0047127A">
        <w:t xml:space="preserve"> evidence taken before</w:t>
      </w:r>
      <w:r w:rsidR="003E113B" w:rsidRPr="0047127A">
        <w:t xml:space="preserve"> “the” </w:t>
      </w:r>
      <w:r w:rsidR="00994F59" w:rsidRPr="0047127A">
        <w:t>magistrate</w:t>
      </w:r>
      <w:r w:rsidR="002E52A8">
        <w:t xml:space="preserve"> (§ 739)</w:t>
      </w:r>
      <w:r w:rsidR="00994F59" w:rsidRPr="0047127A">
        <w:t>.</w:t>
      </w:r>
      <w:r w:rsidR="001D1276" w:rsidRPr="0047127A">
        <w:t xml:space="preserve">  (</w:t>
      </w:r>
      <w:r w:rsidRPr="0047127A">
        <w:rPr>
          <w:i/>
          <w:iCs/>
        </w:rPr>
        <w:t>Henson</w:t>
      </w:r>
      <w:r w:rsidRPr="0047127A">
        <w:t xml:space="preserve">, </w:t>
      </w:r>
      <w:r w:rsidRPr="0047127A">
        <w:rPr>
          <w:i/>
          <w:iCs/>
        </w:rPr>
        <w:t>supra</w:t>
      </w:r>
      <w:r w:rsidRPr="0047127A">
        <w:t>, 28 Cal.App.5th at pp. 524–527, dis. opn. of Smith, J.</w:t>
      </w:r>
      <w:r w:rsidR="001D1276" w:rsidRPr="0047127A">
        <w:t>)</w:t>
      </w:r>
      <w:r w:rsidR="0024797F" w:rsidRPr="0047127A">
        <w:rPr>
          <w:rStyle w:val="FootnoteReference"/>
        </w:rPr>
        <w:footnoteReference w:id="19"/>
      </w:r>
    </w:p>
    <w:p w14:paraId="6764E483" w14:textId="5853759F" w:rsidR="00880530" w:rsidRPr="0047127A" w:rsidRDefault="00994F59" w:rsidP="0047127A">
      <w:pPr>
        <w:tabs>
          <w:tab w:val="left" w:pos="1440"/>
        </w:tabs>
        <w:ind w:firstLine="720"/>
      </w:pPr>
      <w:r w:rsidRPr="0047127A">
        <w:lastRenderedPageBreak/>
        <w:t>Section 739</w:t>
      </w:r>
      <w:r w:rsidR="00145185" w:rsidRPr="0047127A">
        <w:t>, however,</w:t>
      </w:r>
      <w:r w:rsidRPr="0047127A">
        <w:t xml:space="preserve"> is </w:t>
      </w:r>
      <w:r w:rsidR="00CA608F" w:rsidRPr="0047127A">
        <w:t>inapposite on the issue we resolve here.</w:t>
      </w:r>
      <w:r w:rsidR="0074519D" w:rsidRPr="0047127A">
        <w:t xml:space="preserve">  S</w:t>
      </w:r>
      <w:r w:rsidR="00CA608F" w:rsidRPr="0047127A">
        <w:t xml:space="preserve">ection 739 is </w:t>
      </w:r>
      <w:r w:rsidRPr="0047127A">
        <w:t>not a joinder statute</w:t>
      </w:r>
      <w:r w:rsidR="0074519D" w:rsidRPr="0047127A">
        <w:t>; r</w:t>
      </w:r>
      <w:r w:rsidRPr="0047127A">
        <w:t>ather, its purpose is t</w:t>
      </w:r>
      <w:r w:rsidR="00D74279" w:rsidRPr="0047127A">
        <w:t>o set forth the place</w:t>
      </w:r>
      <w:r w:rsidR="0098245F" w:rsidRPr="0047127A">
        <w:t xml:space="preserve"> of filing</w:t>
      </w:r>
      <w:r w:rsidR="00D74279" w:rsidRPr="0047127A">
        <w:t xml:space="preserve">, timing, and general form of the information, and it </w:t>
      </w:r>
      <w:r w:rsidR="007B442A">
        <w:t xml:space="preserve">references </w:t>
      </w:r>
      <w:r w:rsidR="00D74279" w:rsidRPr="0047127A">
        <w:t xml:space="preserve">the offenses that may be charged in the information only to specify that the text of the commitment order does not </w:t>
      </w:r>
      <w:r w:rsidR="00D74279" w:rsidRPr="0047127A">
        <w:rPr>
          <w:i/>
          <w:iCs/>
        </w:rPr>
        <w:t>limit</w:t>
      </w:r>
      <w:r w:rsidR="00D74279" w:rsidRPr="0047127A">
        <w:t xml:space="preserve"> those offenses.  </w:t>
      </w:r>
      <w:r w:rsidRPr="0047127A">
        <w:t>T</w:t>
      </w:r>
      <w:r w:rsidR="003315F0" w:rsidRPr="0047127A">
        <w:t>h</w:t>
      </w:r>
      <w:r w:rsidRPr="0047127A">
        <w:t xml:space="preserve">e </w:t>
      </w:r>
      <w:r w:rsidR="0050510B" w:rsidRPr="0047127A">
        <w:t>w</w:t>
      </w:r>
      <w:r w:rsidR="003E113B" w:rsidRPr="0047127A">
        <w:t xml:space="preserve">ording </w:t>
      </w:r>
      <w:r w:rsidRPr="0047127A">
        <w:t xml:space="preserve">of section 739 is permissive, not restrictive, </w:t>
      </w:r>
      <w:r w:rsidR="003E113B" w:rsidRPr="0047127A">
        <w:t xml:space="preserve">allowing the district attorney to file </w:t>
      </w:r>
      <w:r w:rsidR="00B908DA" w:rsidRPr="0047127A">
        <w:t>“</w:t>
      </w:r>
      <w:r w:rsidR="003E113B" w:rsidRPr="0047127A">
        <w:t xml:space="preserve">any </w:t>
      </w:r>
      <w:r w:rsidR="00B908DA" w:rsidRPr="0047127A">
        <w:t xml:space="preserve">offense or offenses,” whether </w:t>
      </w:r>
      <w:r w:rsidR="003E113B" w:rsidRPr="0047127A">
        <w:t xml:space="preserve">named </w:t>
      </w:r>
      <w:r w:rsidR="008F3342">
        <w:t xml:space="preserve">in the commitment order </w:t>
      </w:r>
      <w:r w:rsidR="003E113B" w:rsidRPr="0047127A">
        <w:t>or shown</w:t>
      </w:r>
      <w:r w:rsidR="00B908DA" w:rsidRPr="0047127A">
        <w:t xml:space="preserve"> by the evidence</w:t>
      </w:r>
      <w:r w:rsidR="00880530" w:rsidRPr="0047127A">
        <w:t xml:space="preserve"> presented to the magistrate</w:t>
      </w:r>
      <w:r w:rsidR="00B908DA" w:rsidRPr="0047127A">
        <w:t>.  T</w:t>
      </w:r>
      <w:r w:rsidRPr="0047127A">
        <w:t xml:space="preserve">he fact </w:t>
      </w:r>
      <w:r w:rsidR="00B908DA" w:rsidRPr="0047127A">
        <w:t xml:space="preserve">that section 739 </w:t>
      </w:r>
      <w:r w:rsidRPr="0047127A">
        <w:t>refers to</w:t>
      </w:r>
      <w:r w:rsidR="00B908DA" w:rsidRPr="0047127A">
        <w:t xml:space="preserve"> “the” commitment order, “the” evidence, and “the” magistrate </w:t>
      </w:r>
      <w:r w:rsidRPr="0047127A">
        <w:t xml:space="preserve">must be considered in </w:t>
      </w:r>
      <w:r w:rsidR="003315F0" w:rsidRPr="0047127A">
        <w:t xml:space="preserve">the </w:t>
      </w:r>
      <w:r w:rsidRPr="0047127A">
        <w:t>context</w:t>
      </w:r>
      <w:r w:rsidR="003315F0" w:rsidRPr="0047127A">
        <w:t xml:space="preserve"> of the statute’s purpose</w:t>
      </w:r>
      <w:r w:rsidRPr="0047127A">
        <w:t xml:space="preserve">.  Because </w:t>
      </w:r>
      <w:r w:rsidR="00B908DA" w:rsidRPr="0047127A">
        <w:t>section 739 is not concerned with joinder</w:t>
      </w:r>
      <w:r w:rsidR="00A76F41">
        <w:t>,</w:t>
      </w:r>
      <w:r w:rsidR="00B908DA" w:rsidRPr="0047127A">
        <w:t xml:space="preserve"> and because </w:t>
      </w:r>
      <w:r w:rsidR="0050510B" w:rsidRPr="0047127A">
        <w:t xml:space="preserve">its </w:t>
      </w:r>
      <w:r w:rsidRPr="0047127A">
        <w:t xml:space="preserve">purpose is </w:t>
      </w:r>
      <w:r w:rsidR="008052B1" w:rsidRPr="0047127A">
        <w:t xml:space="preserve">merely </w:t>
      </w:r>
      <w:r w:rsidRPr="0047127A">
        <w:t xml:space="preserve">to explain the procedural steps that </w:t>
      </w:r>
      <w:r w:rsidR="00A12821">
        <w:t xml:space="preserve">ordinarily </w:t>
      </w:r>
      <w:r w:rsidR="00C47087">
        <w:t xml:space="preserve">follow after the issuance of a particular commitment order, </w:t>
      </w:r>
      <w:r w:rsidRPr="0047127A">
        <w:t xml:space="preserve">it is perfectly natural </w:t>
      </w:r>
      <w:r w:rsidR="00B908DA" w:rsidRPr="0047127A">
        <w:t xml:space="preserve">for the statute to </w:t>
      </w:r>
      <w:r w:rsidRPr="0047127A">
        <w:t xml:space="preserve">speak of </w:t>
      </w:r>
      <w:r w:rsidR="00B908DA" w:rsidRPr="0047127A">
        <w:t>“the” commitment order, “the” evidence, and “the” magistrate</w:t>
      </w:r>
      <w:r w:rsidR="0059737E">
        <w:t xml:space="preserve">.  </w:t>
      </w:r>
      <w:r w:rsidR="00180CAB" w:rsidRPr="0047127A">
        <w:t>But t</w:t>
      </w:r>
      <w:r w:rsidRPr="0047127A">
        <w:t xml:space="preserve">he statute does not preclude the possibility of multiple </w:t>
      </w:r>
      <w:r w:rsidR="00180CAB" w:rsidRPr="0047127A">
        <w:t>magistrate proceedings supporting a</w:t>
      </w:r>
      <w:r w:rsidR="00A12821">
        <w:t xml:space="preserve">n </w:t>
      </w:r>
      <w:r w:rsidR="00180CAB" w:rsidRPr="0047127A">
        <w:t xml:space="preserve">information.  </w:t>
      </w:r>
      <w:r w:rsidRPr="0047127A">
        <w:t xml:space="preserve">In </w:t>
      </w:r>
      <w:r w:rsidR="00F2631F">
        <w:t>that</w:t>
      </w:r>
      <w:r w:rsidRPr="0047127A">
        <w:t xml:space="preserve"> situation</w:t>
      </w:r>
      <w:r w:rsidR="00BD7D4B" w:rsidRPr="0047127A">
        <w:t xml:space="preserve">, section 739’s reference to </w:t>
      </w:r>
      <w:r w:rsidR="006728E0" w:rsidRPr="0047127A">
        <w:t xml:space="preserve">“the” commitment order, “the” evidence, and “the” magistrate </w:t>
      </w:r>
      <w:r w:rsidR="0075683A">
        <w:t xml:space="preserve">signifies </w:t>
      </w:r>
      <w:r w:rsidRPr="0047127A">
        <w:t>the</w:t>
      </w:r>
      <w:r w:rsidR="006728E0" w:rsidRPr="0047127A">
        <w:t xml:space="preserve"> commitment order, evidence, and </w:t>
      </w:r>
      <w:r w:rsidRPr="0047127A">
        <w:t xml:space="preserve">magistrate </w:t>
      </w:r>
      <w:r w:rsidR="008052B1" w:rsidRPr="0047127A">
        <w:t xml:space="preserve">that </w:t>
      </w:r>
      <w:r w:rsidR="006728E0" w:rsidRPr="0047127A">
        <w:t>correspond</w:t>
      </w:r>
      <w:r w:rsidR="008052B1" w:rsidRPr="0047127A">
        <w:t xml:space="preserve">s </w:t>
      </w:r>
      <w:r w:rsidR="009D53EB" w:rsidRPr="0047127A">
        <w:t xml:space="preserve">to </w:t>
      </w:r>
      <w:r w:rsidR="0050510B" w:rsidRPr="0047127A">
        <w:t xml:space="preserve">a </w:t>
      </w:r>
      <w:r w:rsidR="00663024" w:rsidRPr="0047127A">
        <w:t xml:space="preserve">particular </w:t>
      </w:r>
      <w:r w:rsidR="00180CAB" w:rsidRPr="0047127A">
        <w:t xml:space="preserve">offense charged in the </w:t>
      </w:r>
      <w:r w:rsidR="00080B00" w:rsidRPr="0047127A">
        <w:t xml:space="preserve">joint </w:t>
      </w:r>
      <w:r w:rsidR="00180CAB" w:rsidRPr="0047127A">
        <w:t>i</w:t>
      </w:r>
      <w:r w:rsidR="000F7031" w:rsidRPr="0047127A">
        <w:t>nformation</w:t>
      </w:r>
      <w:r w:rsidRPr="0047127A">
        <w:t>.</w:t>
      </w:r>
      <w:r w:rsidR="00D72C5E">
        <w:t xml:space="preserve">  </w:t>
      </w:r>
      <w:r w:rsidR="0059737E">
        <w:t>Thus</w:t>
      </w:r>
      <w:r w:rsidR="000A1231">
        <w:t xml:space="preserve">, section 739 </w:t>
      </w:r>
      <w:r w:rsidR="00C631C0">
        <w:t xml:space="preserve">was </w:t>
      </w:r>
      <w:r w:rsidR="00311F75" w:rsidRPr="00311F75">
        <w:t xml:space="preserve">followed to the letter here.  As to magistrate case 1499, the district attorney filed in the superior court, </w:t>
      </w:r>
      <w:r w:rsidR="00D72C5E">
        <w:t>“</w:t>
      </w:r>
      <w:r w:rsidR="00311F75" w:rsidRPr="00311F75">
        <w:t xml:space="preserve">within 15 days after the </w:t>
      </w:r>
      <w:r w:rsidR="00311F75" w:rsidRPr="00311F75">
        <w:lastRenderedPageBreak/>
        <w:t>commitment</w:t>
      </w:r>
      <w:r w:rsidR="00C631C0">
        <w:t>,</w:t>
      </w:r>
      <w:r w:rsidR="00C47087">
        <w:t xml:space="preserve"> </w:t>
      </w:r>
      <w:r w:rsidR="00311F75" w:rsidRPr="00311F75">
        <w:t>an information against the defendant which</w:t>
      </w:r>
      <w:r w:rsidR="00D72C5E">
        <w:t xml:space="preserve"> . . . </w:t>
      </w:r>
      <w:r w:rsidR="00311F75" w:rsidRPr="00311F75">
        <w:t>charge[d] the defendant with</w:t>
      </w:r>
      <w:r w:rsidR="00D72C5E">
        <w:t xml:space="preserve"> . . . </w:t>
      </w:r>
      <w:r w:rsidR="00311F75" w:rsidRPr="00311F75">
        <w:t>the offense or offenses named in the order of commitment</w:t>
      </w:r>
      <w:r w:rsidR="00D72C5E">
        <w:t>”</w:t>
      </w:r>
      <w:r w:rsidR="004511EA">
        <w:t xml:space="preserve"> </w:t>
      </w:r>
      <w:r w:rsidR="00C47087">
        <w:t>for</w:t>
      </w:r>
      <w:r w:rsidR="00C631C0">
        <w:t xml:space="preserve"> that </w:t>
      </w:r>
      <w:r w:rsidR="0059737E">
        <w:t xml:space="preserve">particular </w:t>
      </w:r>
      <w:r w:rsidR="00C631C0">
        <w:t>case</w:t>
      </w:r>
      <w:r w:rsidR="00672E2A">
        <w:t xml:space="preserve">.  </w:t>
      </w:r>
      <w:r w:rsidR="004511EA">
        <w:t>(§ 739</w:t>
      </w:r>
      <w:r w:rsidR="00672E2A">
        <w:t>.</w:t>
      </w:r>
      <w:r w:rsidR="004511EA">
        <w:t>)</w:t>
      </w:r>
      <w:r w:rsidR="00672E2A">
        <w:t xml:space="preserve">  </w:t>
      </w:r>
      <w:r w:rsidR="00D65862">
        <w:t xml:space="preserve">And the district attorney did the same as to magistrate case 3119.  </w:t>
      </w:r>
      <w:r w:rsidR="00D41914">
        <w:t>Th</w:t>
      </w:r>
      <w:r w:rsidR="00D65862">
        <w:t xml:space="preserve">e information that satisfied section 739 as to </w:t>
      </w:r>
      <w:r w:rsidR="006241C9">
        <w:t xml:space="preserve">each </w:t>
      </w:r>
      <w:r w:rsidR="00D65862">
        <w:t>magistrate case was</w:t>
      </w:r>
      <w:r w:rsidR="006B2409">
        <w:t xml:space="preserve"> </w:t>
      </w:r>
      <w:r w:rsidR="00D65862">
        <w:t xml:space="preserve">the </w:t>
      </w:r>
      <w:r w:rsidR="00D65862" w:rsidRPr="006B2409">
        <w:rPr>
          <w:i/>
          <w:iCs/>
        </w:rPr>
        <w:t>same</w:t>
      </w:r>
      <w:r w:rsidR="00D65862">
        <w:t xml:space="preserve"> information, but </w:t>
      </w:r>
      <w:r w:rsidR="001735EA">
        <w:t xml:space="preserve">nothing in </w:t>
      </w:r>
      <w:r w:rsidR="00D65862">
        <w:t xml:space="preserve">section 739 </w:t>
      </w:r>
      <w:r w:rsidR="006241C9">
        <w:t>prohibit</w:t>
      </w:r>
      <w:r w:rsidR="001735EA">
        <w:t>s</w:t>
      </w:r>
      <w:r w:rsidR="006241C9">
        <w:t xml:space="preserve"> </w:t>
      </w:r>
      <w:r w:rsidR="006B2409">
        <w:t>that manner of proceeding</w:t>
      </w:r>
      <w:r w:rsidR="00311F75" w:rsidRPr="00311F75">
        <w:t>.</w:t>
      </w:r>
    </w:p>
    <w:p w14:paraId="249F6E00" w14:textId="137DC4A7" w:rsidR="00880530" w:rsidRPr="0047127A" w:rsidRDefault="003315F0" w:rsidP="0047127A">
      <w:pPr>
        <w:tabs>
          <w:tab w:val="left" w:pos="1440"/>
        </w:tabs>
        <w:ind w:firstLine="720"/>
      </w:pPr>
      <w:r w:rsidRPr="0047127A">
        <w:t>Importantly, a</w:t>
      </w:r>
      <w:r w:rsidR="002064F3" w:rsidRPr="0047127A">
        <w:t xml:space="preserve">dopting the </w:t>
      </w:r>
      <w:r w:rsidR="0050510B" w:rsidRPr="0047127A">
        <w:t xml:space="preserve">Court of Appeal </w:t>
      </w:r>
      <w:r w:rsidR="002064F3" w:rsidRPr="0047127A">
        <w:t xml:space="preserve">dissent’s view of </w:t>
      </w:r>
      <w:r w:rsidR="00D919FC" w:rsidRPr="0047127A">
        <w:t xml:space="preserve">section </w:t>
      </w:r>
      <w:r w:rsidR="002064F3" w:rsidRPr="0047127A">
        <w:t>739 would</w:t>
      </w:r>
      <w:r w:rsidRPr="0047127A">
        <w:t xml:space="preserve"> </w:t>
      </w:r>
      <w:r w:rsidR="002064F3" w:rsidRPr="0047127A">
        <w:t>require us to violate a canon of statutory interpretation</w:t>
      </w:r>
      <w:r w:rsidR="00A76F41">
        <w:t>,</w:t>
      </w:r>
      <w:r w:rsidR="00D919FC" w:rsidRPr="0047127A">
        <w:t xml:space="preserve"> since it</w:t>
      </w:r>
      <w:r w:rsidR="00880530" w:rsidRPr="0047127A">
        <w:t xml:space="preserve"> </w:t>
      </w:r>
      <w:r w:rsidR="00BD7D4B" w:rsidRPr="0047127A">
        <w:t>would mean that</w:t>
      </w:r>
      <w:r w:rsidR="000F7031" w:rsidRPr="0047127A">
        <w:t xml:space="preserve"> </w:t>
      </w:r>
      <w:r w:rsidR="00BD7D4B" w:rsidRPr="0047127A">
        <w:t>section</w:t>
      </w:r>
      <w:r w:rsidR="00880530" w:rsidRPr="0047127A">
        <w:t xml:space="preserve"> </w:t>
      </w:r>
      <w:r w:rsidR="000F7031" w:rsidRPr="0047127A">
        <w:t xml:space="preserve">739 </w:t>
      </w:r>
      <w:r w:rsidR="00BD7D4B" w:rsidRPr="0047127A">
        <w:t xml:space="preserve">silently </w:t>
      </w:r>
      <w:r w:rsidR="00187031" w:rsidRPr="0047127A">
        <w:t xml:space="preserve">modifies </w:t>
      </w:r>
      <w:r w:rsidR="00BD7D4B" w:rsidRPr="0047127A">
        <w:t>section 954</w:t>
      </w:r>
      <w:r w:rsidR="00880530" w:rsidRPr="0047127A">
        <w:t xml:space="preserve">.  </w:t>
      </w:r>
      <w:r w:rsidR="00CA608F" w:rsidRPr="0047127A">
        <w:t xml:space="preserve">Under the reasoning employed by the dissent, </w:t>
      </w:r>
      <w:r w:rsidR="00BD7D4B" w:rsidRPr="0047127A">
        <w:t>section 954</w:t>
      </w:r>
      <w:r w:rsidR="0050510B" w:rsidRPr="0047127A">
        <w:t xml:space="preserve">’s plain language </w:t>
      </w:r>
      <w:r w:rsidR="00BD7D4B" w:rsidRPr="0047127A">
        <w:t xml:space="preserve">permits </w:t>
      </w:r>
      <w:r w:rsidR="00880530" w:rsidRPr="0047127A">
        <w:t xml:space="preserve">the </w:t>
      </w:r>
      <w:r w:rsidR="00BD7D4B" w:rsidRPr="0047127A">
        <w:t xml:space="preserve">joinder of related charges at the information stage, </w:t>
      </w:r>
      <w:r w:rsidR="0050510B" w:rsidRPr="0047127A">
        <w:t xml:space="preserve">but </w:t>
      </w:r>
      <w:r w:rsidR="00BD7D4B" w:rsidRPr="0047127A">
        <w:t>section 739</w:t>
      </w:r>
      <w:r w:rsidR="00663024" w:rsidRPr="0047127A">
        <w:t> — which is not even a joinder statute —</w:t>
      </w:r>
      <w:r w:rsidR="00BD7D4B" w:rsidRPr="0047127A">
        <w:t xml:space="preserve"> precludes such joinder.  </w:t>
      </w:r>
      <w:r w:rsidR="00C92998" w:rsidRPr="0047127A">
        <w:t xml:space="preserve">(See </w:t>
      </w:r>
      <w:r w:rsidR="00C92998" w:rsidRPr="0047127A">
        <w:rPr>
          <w:i/>
          <w:iCs/>
        </w:rPr>
        <w:t>Henson</w:t>
      </w:r>
      <w:r w:rsidR="00C92998" w:rsidRPr="0047127A">
        <w:t xml:space="preserve">, </w:t>
      </w:r>
      <w:r w:rsidR="00C92998" w:rsidRPr="0047127A">
        <w:rPr>
          <w:i/>
          <w:iCs/>
        </w:rPr>
        <w:t>supra</w:t>
      </w:r>
      <w:r w:rsidR="00C92998" w:rsidRPr="0047127A">
        <w:t xml:space="preserve">, 28 Cal.App.5th at p. 527, dis. opn. of Smith, J.)  </w:t>
      </w:r>
      <w:r w:rsidR="00BD7D4B" w:rsidRPr="0047127A">
        <w:t>Such a s</w:t>
      </w:r>
      <w:r w:rsidR="00233494" w:rsidRPr="0047127A">
        <w:t xml:space="preserve">ignificant </w:t>
      </w:r>
      <w:r w:rsidR="00187031" w:rsidRPr="0047127A">
        <w:t xml:space="preserve">modification </w:t>
      </w:r>
      <w:r w:rsidR="00BD7D4B" w:rsidRPr="0047127A">
        <w:t>to section 954</w:t>
      </w:r>
      <w:r w:rsidR="00880530" w:rsidRPr="0047127A">
        <w:t xml:space="preserve"> </w:t>
      </w:r>
      <w:r w:rsidR="00BD7D4B" w:rsidRPr="0047127A">
        <w:t xml:space="preserve">cannot be based solely on the fact that section 739 </w:t>
      </w:r>
      <w:r w:rsidR="00A93F55" w:rsidRPr="0047127A">
        <w:t>refers to “the” commitment order, “the” evidence, and “the” magistrate</w:t>
      </w:r>
      <w:r w:rsidR="00BD7D4B" w:rsidRPr="0047127A">
        <w:t>.</w:t>
      </w:r>
      <w:r w:rsidR="00880530" w:rsidRPr="0047127A">
        <w:t xml:space="preserve">  If the Legislature had intended the joinder clause of section 954 </w:t>
      </w:r>
      <w:r w:rsidR="008052B1" w:rsidRPr="0047127A">
        <w:t xml:space="preserve">to depend on </w:t>
      </w:r>
      <w:r w:rsidR="009A092A" w:rsidRPr="0047127A">
        <w:t xml:space="preserve">there being a previous </w:t>
      </w:r>
      <w:r w:rsidR="00FD454B" w:rsidRPr="0047127A">
        <w:t xml:space="preserve">joinder </w:t>
      </w:r>
      <w:r w:rsidR="00880530" w:rsidRPr="0047127A">
        <w:t xml:space="preserve">at the </w:t>
      </w:r>
      <w:r w:rsidR="0050510B" w:rsidRPr="0047127A">
        <w:t xml:space="preserve">felony </w:t>
      </w:r>
      <w:r w:rsidR="00880530" w:rsidRPr="0047127A">
        <w:t xml:space="preserve">complaint stage, </w:t>
      </w:r>
      <w:r w:rsidR="009549BA">
        <w:t xml:space="preserve">we think </w:t>
      </w:r>
      <w:r w:rsidR="00880530" w:rsidRPr="0047127A">
        <w:t xml:space="preserve">it </w:t>
      </w:r>
      <w:r w:rsidR="00233494" w:rsidRPr="0047127A">
        <w:t xml:space="preserve">would have </w:t>
      </w:r>
      <w:r w:rsidR="00880530" w:rsidRPr="0047127A">
        <w:t xml:space="preserve">said so.  It would not, instead, have expected courts to infer that rule from the use of </w:t>
      </w:r>
      <w:r w:rsidR="009A092A" w:rsidRPr="0047127A">
        <w:t xml:space="preserve">the definite article </w:t>
      </w:r>
      <w:r w:rsidR="00880530" w:rsidRPr="0047127A">
        <w:t>in section 739</w:t>
      </w:r>
      <w:r w:rsidR="00187031" w:rsidRPr="0047127A">
        <w:t xml:space="preserve">, </w:t>
      </w:r>
      <w:r w:rsidR="005D3645" w:rsidRPr="0047127A">
        <w:t>a statute that makes no reference to section 954</w:t>
      </w:r>
      <w:r w:rsidR="00880530" w:rsidRPr="0047127A">
        <w:t>.</w:t>
      </w:r>
      <w:r w:rsidR="00EF0DEC">
        <w:t xml:space="preserve">  Nor would it</w:t>
      </w:r>
      <w:r w:rsidR="00EF0DEC" w:rsidRPr="00EF0DEC">
        <w:t xml:space="preserve"> have expected courts to indulge in the presumption offered by the dissent</w:t>
      </w:r>
      <w:r w:rsidR="00EF0DEC">
        <w:t>ing opinion</w:t>
      </w:r>
      <w:r w:rsidR="00EF0DEC" w:rsidRPr="00EF0DEC">
        <w:t xml:space="preserve"> </w:t>
      </w:r>
      <w:r w:rsidR="00EF0DEC">
        <w:t xml:space="preserve">in this court </w:t>
      </w:r>
      <w:r w:rsidR="00EF0DEC" w:rsidRPr="00EF0DEC">
        <w:t xml:space="preserve">regarding </w:t>
      </w:r>
      <w:r w:rsidR="00EF0DEC">
        <w:t xml:space="preserve">the </w:t>
      </w:r>
      <w:r w:rsidR="00022809">
        <w:t xml:space="preserve">application </w:t>
      </w:r>
      <w:r w:rsidR="00EF0DEC">
        <w:t xml:space="preserve">of </w:t>
      </w:r>
      <w:r w:rsidR="00EF0DEC" w:rsidRPr="00EF0DEC">
        <w:t>section 739</w:t>
      </w:r>
      <w:r w:rsidR="00EF0DEC">
        <w:t>.</w:t>
      </w:r>
      <w:r w:rsidR="00EF0DEC" w:rsidRPr="00EF0DEC">
        <w:t xml:space="preserve"> </w:t>
      </w:r>
      <w:r w:rsidR="00EF0DEC">
        <w:t xml:space="preserve"> </w:t>
      </w:r>
      <w:r w:rsidR="00EF0DEC" w:rsidRPr="00EF0DEC">
        <w:t>(</w:t>
      </w:r>
      <w:r w:rsidR="00EF0DEC">
        <w:t>S</w:t>
      </w:r>
      <w:r w:rsidR="00EF0DEC" w:rsidRPr="00EF0DEC">
        <w:t xml:space="preserve">ee dis. opn. of Kruger, J., </w:t>
      </w:r>
      <w:r w:rsidR="00EF0DEC" w:rsidRPr="009E5E69">
        <w:rPr>
          <w:i/>
          <w:iCs/>
        </w:rPr>
        <w:t>post</w:t>
      </w:r>
      <w:r w:rsidR="00EF0DEC" w:rsidRPr="00EF0DEC">
        <w:t>, p. 10</w:t>
      </w:r>
      <w:r w:rsidR="00EF0DEC">
        <w:t>.</w:t>
      </w:r>
      <w:r w:rsidR="00EF0DEC" w:rsidRPr="00EF0DEC">
        <w:t>)</w:t>
      </w:r>
      <w:r w:rsidR="00A00C00" w:rsidRPr="0047127A">
        <w:rPr>
          <w:rStyle w:val="FootnoteReference"/>
        </w:rPr>
        <w:footnoteReference w:id="20"/>
      </w:r>
    </w:p>
    <w:p w14:paraId="4A55E9B6" w14:textId="3954FCE8" w:rsidR="007B5169" w:rsidRPr="0047127A" w:rsidRDefault="003315F0" w:rsidP="0047127A">
      <w:pPr>
        <w:tabs>
          <w:tab w:val="left" w:pos="1440"/>
        </w:tabs>
        <w:ind w:firstLine="720"/>
        <w:rPr>
          <w:szCs w:val="26"/>
        </w:rPr>
      </w:pPr>
      <w:r w:rsidRPr="0047127A">
        <w:lastRenderedPageBreak/>
        <w:t xml:space="preserve">The </w:t>
      </w:r>
      <w:r w:rsidR="0050510B" w:rsidRPr="0047127A">
        <w:t xml:space="preserve">Court of Appeal </w:t>
      </w:r>
      <w:r w:rsidRPr="0047127A">
        <w:t xml:space="preserve">dissent also argued that its </w:t>
      </w:r>
      <w:r w:rsidR="0059478C" w:rsidRPr="0047127A">
        <w:t xml:space="preserve">linear </w:t>
      </w:r>
      <w:r w:rsidR="00A76F41">
        <w:t>one complaint/one information</w:t>
      </w:r>
      <w:r w:rsidRPr="0047127A">
        <w:t xml:space="preserve"> model </w:t>
      </w:r>
      <w:r w:rsidR="008F3342">
        <w:t>of criminal procedure</w:t>
      </w:r>
      <w:r w:rsidR="008F3342" w:rsidRPr="0047127A">
        <w:t xml:space="preserve"> </w:t>
      </w:r>
      <w:r w:rsidRPr="0047127A">
        <w:t xml:space="preserve">was necessary to avoid </w:t>
      </w:r>
      <w:r w:rsidR="00E837E4" w:rsidRPr="0047127A">
        <w:t xml:space="preserve">administrative confusion and </w:t>
      </w:r>
      <w:r w:rsidR="0050510B" w:rsidRPr="0047127A">
        <w:t xml:space="preserve">related </w:t>
      </w:r>
      <w:r w:rsidR="00E837E4" w:rsidRPr="0047127A">
        <w:t>disruption.  (</w:t>
      </w:r>
      <w:r w:rsidR="0050510B" w:rsidRPr="0047127A">
        <w:rPr>
          <w:i/>
          <w:iCs/>
        </w:rPr>
        <w:t>Henson</w:t>
      </w:r>
      <w:r w:rsidR="0050510B" w:rsidRPr="0047127A">
        <w:t xml:space="preserve">, </w:t>
      </w:r>
      <w:r w:rsidR="0050510B" w:rsidRPr="0047127A">
        <w:rPr>
          <w:i/>
          <w:iCs/>
        </w:rPr>
        <w:t>supra</w:t>
      </w:r>
      <w:r w:rsidR="0050510B" w:rsidRPr="0047127A">
        <w:t>, 28 Cal.App.5th at</w:t>
      </w:r>
      <w:r w:rsidR="00E837E4" w:rsidRPr="0047127A">
        <w:t xml:space="preserve"> pp. 523, 530, 532–534, dis. opn. of Smith, J.)</w:t>
      </w:r>
      <w:r w:rsidRPr="0047127A">
        <w:t xml:space="preserve">  </w:t>
      </w:r>
      <w:r w:rsidR="00E837E4" w:rsidRPr="0047127A">
        <w:rPr>
          <w:szCs w:val="26"/>
        </w:rPr>
        <w:t xml:space="preserve">In our view, the administrative complexities that </w:t>
      </w:r>
      <w:r w:rsidR="004232F4">
        <w:rPr>
          <w:szCs w:val="26"/>
        </w:rPr>
        <w:t xml:space="preserve">may </w:t>
      </w:r>
      <w:r w:rsidR="00E837E4" w:rsidRPr="0047127A">
        <w:rPr>
          <w:szCs w:val="26"/>
        </w:rPr>
        <w:t xml:space="preserve">arise from the joinder of charges that were the subject of different magistrate proceedings are no more daunting than the administrative complexities that arise from a court’s order consolidating multiple pleadings.  We think these complexities are easily addressed, and therefore we do not think that considerations of judicial administration </w:t>
      </w:r>
      <w:r w:rsidR="007B5169" w:rsidRPr="0047127A">
        <w:rPr>
          <w:szCs w:val="26"/>
        </w:rPr>
        <w:t xml:space="preserve">are </w:t>
      </w:r>
      <w:r w:rsidR="004232F4">
        <w:rPr>
          <w:szCs w:val="26"/>
        </w:rPr>
        <w:t xml:space="preserve">material </w:t>
      </w:r>
      <w:r w:rsidR="00FC2D68" w:rsidRPr="0047127A">
        <w:rPr>
          <w:szCs w:val="26"/>
        </w:rPr>
        <w:t>in this c</w:t>
      </w:r>
      <w:r w:rsidR="00F65FBD">
        <w:rPr>
          <w:szCs w:val="26"/>
        </w:rPr>
        <w:t>ontext</w:t>
      </w:r>
      <w:r w:rsidR="00E837E4" w:rsidRPr="0047127A">
        <w:rPr>
          <w:szCs w:val="26"/>
        </w:rPr>
        <w:t xml:space="preserve">.  </w:t>
      </w:r>
      <w:r w:rsidR="004232F4">
        <w:rPr>
          <w:szCs w:val="26"/>
        </w:rPr>
        <w:t>For example, t</w:t>
      </w:r>
      <w:r w:rsidR="00E837E4" w:rsidRPr="0047127A">
        <w:rPr>
          <w:szCs w:val="26"/>
        </w:rPr>
        <w:t>he</w:t>
      </w:r>
      <w:r w:rsidR="00393228">
        <w:rPr>
          <w:szCs w:val="26"/>
        </w:rPr>
        <w:t xml:space="preserve"> </w:t>
      </w:r>
      <w:r w:rsidR="00192D65">
        <w:rPr>
          <w:szCs w:val="26"/>
        </w:rPr>
        <w:t xml:space="preserve">complexities </w:t>
      </w:r>
      <w:r w:rsidR="00393228">
        <w:rPr>
          <w:szCs w:val="26"/>
        </w:rPr>
        <w:t xml:space="preserve">that </w:t>
      </w:r>
      <w:r w:rsidR="00E837E4" w:rsidRPr="0047127A">
        <w:rPr>
          <w:szCs w:val="26"/>
        </w:rPr>
        <w:t xml:space="preserve">arose </w:t>
      </w:r>
      <w:r w:rsidR="00FC2D68" w:rsidRPr="0047127A">
        <w:rPr>
          <w:szCs w:val="26"/>
        </w:rPr>
        <w:t xml:space="preserve">here </w:t>
      </w:r>
      <w:r w:rsidR="00E837E4" w:rsidRPr="0047127A">
        <w:rPr>
          <w:szCs w:val="26"/>
        </w:rPr>
        <w:t>w</w:t>
      </w:r>
      <w:r w:rsidR="00192D65">
        <w:rPr>
          <w:szCs w:val="26"/>
        </w:rPr>
        <w:t xml:space="preserve">ere </w:t>
      </w:r>
      <w:r w:rsidR="00E837E4" w:rsidRPr="0047127A">
        <w:rPr>
          <w:szCs w:val="26"/>
        </w:rPr>
        <w:t xml:space="preserve">twofold.  First, there was the unusual wrinkle that the office of the public defender had a conflict as to some of the charges alleged in the joint information but not as to others.  But that will not be true in most cases, and it is easily handled in the manner that it was handled here.  Second, the clerk’s office in this case was confused because the filing of a joint information alleging charges from different magistrate proceedings is relatively rare, and therefore the pleading that the district attorney attempted to file in this case was unfamiliar.  But in the future, a district attorney need only cite our opinion, and a clerk’s office will be able to accept the filing and </w:t>
      </w:r>
      <w:r w:rsidR="00FC2D68" w:rsidRPr="0047127A">
        <w:rPr>
          <w:szCs w:val="26"/>
        </w:rPr>
        <w:t xml:space="preserve">link </w:t>
      </w:r>
      <w:r w:rsidR="00E837E4" w:rsidRPr="0047127A">
        <w:rPr>
          <w:szCs w:val="26"/>
        </w:rPr>
        <w:t xml:space="preserve">the </w:t>
      </w:r>
      <w:r w:rsidR="00E837E4" w:rsidRPr="0047127A">
        <w:rPr>
          <w:szCs w:val="26"/>
        </w:rPr>
        <w:lastRenderedPageBreak/>
        <w:t>magistrate files with relative ease, just as clerk’s offices regularly do when cases are consolidated by court order.</w:t>
      </w:r>
    </w:p>
    <w:p w14:paraId="47866785" w14:textId="1324AE0D" w:rsidR="00E837E4" w:rsidRPr="00CD3947" w:rsidRDefault="007B5169" w:rsidP="00CD3947">
      <w:pPr>
        <w:tabs>
          <w:tab w:val="left" w:pos="1440"/>
        </w:tabs>
        <w:ind w:firstLine="720"/>
      </w:pPr>
      <w:r w:rsidRPr="0047127A">
        <w:rPr>
          <w:szCs w:val="26"/>
        </w:rPr>
        <w:t>Of course, i</w:t>
      </w:r>
      <w:r w:rsidR="00E837E4" w:rsidRPr="0047127A">
        <w:t xml:space="preserve">n counties </w:t>
      </w:r>
      <w:r w:rsidR="00FC2D68" w:rsidRPr="0047127A">
        <w:t xml:space="preserve">where a trial court proceeding bears </w:t>
      </w:r>
      <w:r w:rsidRPr="0047127A">
        <w:t xml:space="preserve">the same case number </w:t>
      </w:r>
      <w:r w:rsidR="00FC2D68" w:rsidRPr="0047127A">
        <w:t>as t</w:t>
      </w:r>
      <w:r w:rsidR="00FC2D68" w:rsidRPr="0047127A">
        <w:rPr>
          <w:szCs w:val="26"/>
        </w:rPr>
        <w:t xml:space="preserve">he magistrate proceeding that precedes it, some </w:t>
      </w:r>
      <w:r w:rsidR="00E837E4" w:rsidRPr="0047127A">
        <w:t xml:space="preserve">provision </w:t>
      </w:r>
      <w:r w:rsidRPr="0047127A">
        <w:t xml:space="preserve">will need to </w:t>
      </w:r>
      <w:r w:rsidR="00E837E4" w:rsidRPr="0047127A">
        <w:t>be made for cases in which the district attorney join</w:t>
      </w:r>
      <w:r w:rsidR="00FC2D68" w:rsidRPr="0047127A">
        <w:t>s</w:t>
      </w:r>
      <w:r w:rsidR="00E837E4" w:rsidRPr="0047127A">
        <w:t xml:space="preserve"> charges from multiple magistrate proceedings.  </w:t>
      </w:r>
      <w:r w:rsidRPr="0047127A">
        <w:t>P</w:t>
      </w:r>
      <w:r w:rsidR="00E837E4" w:rsidRPr="0047127A">
        <w:t xml:space="preserve">erhaps the </w:t>
      </w:r>
      <w:r w:rsidR="000969AB" w:rsidRPr="0047127A">
        <w:t>be</w:t>
      </w:r>
      <w:r w:rsidR="00E837E4" w:rsidRPr="0047127A">
        <w:t xml:space="preserve">st solution is the one </w:t>
      </w:r>
      <w:r w:rsidR="00E558F1">
        <w:t xml:space="preserve">that obtained </w:t>
      </w:r>
      <w:r w:rsidRPr="0047127A">
        <w:t>here</w:t>
      </w:r>
      <w:r w:rsidR="003C525B">
        <w:t>:  T</w:t>
      </w:r>
      <w:r w:rsidR="00E837E4" w:rsidRPr="0047127A">
        <w:t xml:space="preserve">he case numbers of all the relevant magistrate proceedings </w:t>
      </w:r>
      <w:r w:rsidR="003C525B">
        <w:t>we</w:t>
      </w:r>
      <w:r w:rsidR="00E837E4" w:rsidRPr="0047127A">
        <w:t xml:space="preserve">re listed on the joint information, and one of those case numbers </w:t>
      </w:r>
      <w:r w:rsidR="003C525B">
        <w:t>wa</w:t>
      </w:r>
      <w:r w:rsidR="00E837E4" w:rsidRPr="0047127A">
        <w:t xml:space="preserve">s designated as the case number for purposes of the trial court proceeding that the information </w:t>
      </w:r>
      <w:r w:rsidR="003C525B">
        <w:t xml:space="preserve">was </w:t>
      </w:r>
      <w:r w:rsidR="00E837E4" w:rsidRPr="0047127A">
        <w:t>initiat</w:t>
      </w:r>
      <w:r w:rsidR="003C525B">
        <w:t>ing</w:t>
      </w:r>
      <w:r w:rsidR="00E837E4" w:rsidRPr="0047127A">
        <w:t xml:space="preserve">.  Likewise, </w:t>
      </w:r>
      <w:r w:rsidR="00341865">
        <w:t xml:space="preserve">some provision </w:t>
      </w:r>
      <w:r w:rsidR="00BB1199">
        <w:t xml:space="preserve">will </w:t>
      </w:r>
      <w:r w:rsidR="00341865">
        <w:t xml:space="preserve">need to be made for linking multiple magistrate case files with a single trial court case file.  </w:t>
      </w:r>
      <w:r w:rsidR="00E837E4" w:rsidRPr="0047127A">
        <w:t>These are practical con</w:t>
      </w:r>
      <w:r w:rsidR="00FC2D68" w:rsidRPr="0047127A">
        <w:t xml:space="preserve">cerns </w:t>
      </w:r>
      <w:r w:rsidR="00E837E4" w:rsidRPr="0047127A">
        <w:t xml:space="preserve">that can be easily addressed at the local level, and the advent of electronic </w:t>
      </w:r>
      <w:r w:rsidR="00FC2D68" w:rsidRPr="0047127A">
        <w:t xml:space="preserve">filing </w:t>
      </w:r>
      <w:r w:rsidR="00E837E4" w:rsidRPr="0047127A">
        <w:t>will no doubt facilitate that process.</w:t>
      </w:r>
      <w:r w:rsidR="00927C4E">
        <w:t xml:space="preserve"> </w:t>
      </w:r>
      <w:r w:rsidR="00927C4E" w:rsidRPr="00927C4E">
        <w:t>In all events,</w:t>
      </w:r>
      <w:r w:rsidR="00927C4E">
        <w:t xml:space="preserve"> </w:t>
      </w:r>
      <w:r w:rsidR="00927C4E" w:rsidRPr="00927C4E">
        <w:t>the administrative tasks associated with the rule we announce today</w:t>
      </w:r>
      <w:r w:rsidR="00CD3947">
        <w:t xml:space="preserve"> do not </w:t>
      </w:r>
      <w:r w:rsidR="00927C4E" w:rsidRPr="00927C4E">
        <w:t>require us to ignore the plain language of section 954</w:t>
      </w:r>
      <w:r w:rsidR="00CD3947">
        <w:t>.</w:t>
      </w:r>
      <w:r w:rsidR="00927C4E" w:rsidRPr="00927C4E">
        <w:t xml:space="preserve"> </w:t>
      </w:r>
      <w:r w:rsidR="00CD3947">
        <w:t xml:space="preserve"> </w:t>
      </w:r>
      <w:r w:rsidR="00927C4E" w:rsidRPr="00927C4E">
        <w:t>Accordingly, we decline to adopt the linear one</w:t>
      </w:r>
      <w:r w:rsidR="00CD3947">
        <w:t> </w:t>
      </w:r>
      <w:r w:rsidR="00927C4E" w:rsidRPr="00927C4E">
        <w:t>complaint</w:t>
      </w:r>
      <w:r w:rsidR="00CD3947">
        <w:t xml:space="preserve">/one information </w:t>
      </w:r>
      <w:r w:rsidR="00927C4E" w:rsidRPr="00927C4E">
        <w:t>model for felony prosecution</w:t>
      </w:r>
      <w:r w:rsidR="00F65FBD">
        <w:t>s</w:t>
      </w:r>
      <w:r w:rsidR="000969AB" w:rsidRPr="0047127A">
        <w:t>.</w:t>
      </w:r>
      <w:r w:rsidR="0050510B" w:rsidRPr="0047127A">
        <w:rPr>
          <w:rStyle w:val="FootnoteReference"/>
        </w:rPr>
        <w:footnoteReference w:id="21"/>
      </w:r>
    </w:p>
    <w:p w14:paraId="7A803C0D" w14:textId="01FEFD62" w:rsidR="00994561" w:rsidRPr="0047127A" w:rsidRDefault="00663024" w:rsidP="0047127A">
      <w:pPr>
        <w:pStyle w:val="Heading2"/>
      </w:pPr>
      <w:bookmarkStart w:id="17" w:name="_Hlk80902802"/>
      <w:r w:rsidRPr="0047127A">
        <w:lastRenderedPageBreak/>
        <w:t>D</w:t>
      </w:r>
      <w:r w:rsidR="00994561" w:rsidRPr="0047127A">
        <w:t xml:space="preserve">. </w:t>
      </w:r>
      <w:r w:rsidR="00BE3E5F" w:rsidRPr="0047127A">
        <w:t>Defendant’s Section 995 Motion</w:t>
      </w:r>
    </w:p>
    <w:p w14:paraId="3529549F" w14:textId="70D3A73D" w:rsidR="00FC3E1B" w:rsidRDefault="00142D58" w:rsidP="0047127A">
      <w:pPr>
        <w:tabs>
          <w:tab w:val="left" w:pos="1440"/>
        </w:tabs>
        <w:ind w:firstLine="720"/>
      </w:pPr>
      <w:r w:rsidRPr="0047127A">
        <w:t xml:space="preserve">Having determined that Section 954’s joinder clause supports joinder of counts 1 through 4 of the information, we </w:t>
      </w:r>
      <w:r w:rsidR="00663024" w:rsidRPr="0047127A">
        <w:t xml:space="preserve">consider </w:t>
      </w:r>
      <w:r w:rsidR="00022810" w:rsidRPr="0047127A">
        <w:t xml:space="preserve">whether the trial court erred in </w:t>
      </w:r>
      <w:r w:rsidR="00975642" w:rsidRPr="0047127A">
        <w:t>ruling as to counts 1 through 4</w:t>
      </w:r>
      <w:r w:rsidR="000014FF" w:rsidRPr="0047127A">
        <w:t xml:space="preserve"> </w:t>
      </w:r>
      <w:r w:rsidR="00D41149" w:rsidRPr="0047127A">
        <w:t>“[t]hat</w:t>
      </w:r>
      <w:r w:rsidR="00022810" w:rsidRPr="0047127A">
        <w:t xml:space="preserve"> the defendant had been committed without reasonable or probable cause”</w:t>
      </w:r>
      <w:r w:rsidR="00393228">
        <w:t xml:space="preserve"> </w:t>
      </w:r>
      <w:r w:rsidR="00D41149" w:rsidRPr="008C0113">
        <w:t>(§ 995</w:t>
      </w:r>
      <w:r w:rsidR="00D41149" w:rsidRPr="0047127A">
        <w:t>, subd. (a)(2)(B))</w:t>
      </w:r>
      <w:r w:rsidR="00393228">
        <w:t>.</w:t>
      </w:r>
      <w:r w:rsidR="00D41149" w:rsidRPr="0047127A">
        <w:t xml:space="preserve">  </w:t>
      </w:r>
      <w:r w:rsidR="008C089C" w:rsidRPr="0047127A">
        <w:t xml:space="preserve">The trial court found insufficient support for counts 1 through 4 </w:t>
      </w:r>
      <w:r w:rsidR="00022810" w:rsidRPr="0047127A">
        <w:t>because</w:t>
      </w:r>
      <w:r w:rsidR="008C089C" w:rsidRPr="0047127A">
        <w:t xml:space="preserve"> it concluded that</w:t>
      </w:r>
      <w:r w:rsidR="00D91D32" w:rsidRPr="0047127A">
        <w:t xml:space="preserve"> </w:t>
      </w:r>
      <w:r w:rsidR="00407E6D" w:rsidRPr="0047127A">
        <w:t>the record of two separate preliminary examinations can</w:t>
      </w:r>
      <w:r w:rsidR="00022810" w:rsidRPr="0047127A">
        <w:t>not</w:t>
      </w:r>
      <w:r w:rsidR="00407E6D" w:rsidRPr="0047127A">
        <w:t xml:space="preserve"> be used to support a single information</w:t>
      </w:r>
      <w:r w:rsidR="00404885" w:rsidRPr="0047127A">
        <w:t xml:space="preserve">, and therefore </w:t>
      </w:r>
      <w:r w:rsidR="006A4CD0" w:rsidRPr="0047127A">
        <w:t>it</w:t>
      </w:r>
      <w:r w:rsidR="00404885" w:rsidRPr="0047127A">
        <w:t xml:space="preserve"> only considered the record in </w:t>
      </w:r>
      <w:r w:rsidR="00815167" w:rsidRPr="0047127A">
        <w:t xml:space="preserve">magistrate </w:t>
      </w:r>
      <w:r w:rsidR="00404885" w:rsidRPr="0047127A">
        <w:t>case 3119</w:t>
      </w:r>
      <w:r w:rsidR="00407E6D" w:rsidRPr="0047127A">
        <w:t>.</w:t>
      </w:r>
      <w:r w:rsidR="008C089C" w:rsidRPr="0047127A">
        <w:t xml:space="preserve">  </w:t>
      </w:r>
      <w:r w:rsidR="00A10DC4" w:rsidRPr="0047127A">
        <w:t xml:space="preserve">In the trial court’s view, </w:t>
      </w:r>
      <w:r w:rsidR="00815167" w:rsidRPr="0047127A">
        <w:t>the</w:t>
      </w:r>
      <w:r w:rsidR="000010D5" w:rsidRPr="0047127A">
        <w:t xml:space="preserve"> case </w:t>
      </w:r>
      <w:r w:rsidR="005762E7">
        <w:t xml:space="preserve">pending </w:t>
      </w:r>
      <w:r w:rsidR="000010D5" w:rsidRPr="0047127A">
        <w:t xml:space="preserve">before the </w:t>
      </w:r>
      <w:r w:rsidR="00815167" w:rsidRPr="0047127A">
        <w:t xml:space="preserve">superior court was a continuation of magistrate case 3119, </w:t>
      </w:r>
      <w:r w:rsidR="005762E7">
        <w:t xml:space="preserve">and </w:t>
      </w:r>
      <w:r w:rsidR="00815167" w:rsidRPr="0047127A">
        <w:t xml:space="preserve">magistrate </w:t>
      </w:r>
      <w:r w:rsidR="00A10DC4" w:rsidRPr="0047127A">
        <w:t>case 1499 was a separate proceeding</w:t>
      </w:r>
      <w:r w:rsidR="005762E7">
        <w:t>.  T</w:t>
      </w:r>
      <w:r w:rsidR="00A10DC4" w:rsidRPr="0047127A">
        <w:t xml:space="preserve">he </w:t>
      </w:r>
      <w:r w:rsidR="00663024" w:rsidRPr="0047127A">
        <w:t xml:space="preserve">trial </w:t>
      </w:r>
      <w:r w:rsidR="00A10DC4" w:rsidRPr="0047127A">
        <w:t>court thought it could not consider th</w:t>
      </w:r>
      <w:r w:rsidR="00687C5B" w:rsidRPr="0047127A">
        <w:t>e</w:t>
      </w:r>
      <w:r w:rsidR="00A10DC4" w:rsidRPr="0047127A">
        <w:t xml:space="preserve"> record </w:t>
      </w:r>
      <w:r w:rsidR="00687C5B" w:rsidRPr="0047127A">
        <w:t xml:space="preserve">of a separate proceeding </w:t>
      </w:r>
      <w:r w:rsidR="00A10DC4" w:rsidRPr="0047127A">
        <w:t xml:space="preserve">without </w:t>
      </w:r>
      <w:r w:rsidR="00416B42" w:rsidRPr="0047127A">
        <w:t xml:space="preserve">an order </w:t>
      </w:r>
      <w:r w:rsidR="00A10DC4" w:rsidRPr="0047127A">
        <w:t xml:space="preserve">consolidating the two cases.  </w:t>
      </w:r>
      <w:r w:rsidR="00663024" w:rsidRPr="0047127A">
        <w:t xml:space="preserve">We </w:t>
      </w:r>
      <w:r w:rsidR="00815167" w:rsidRPr="0047127A">
        <w:t>reject that reasoning</w:t>
      </w:r>
      <w:r w:rsidR="00993600" w:rsidRPr="0047127A">
        <w:t>.</w:t>
      </w:r>
    </w:p>
    <w:p w14:paraId="2EEEB0CE" w14:textId="05677CBD" w:rsidR="00EA79E9" w:rsidRPr="0047127A" w:rsidRDefault="00485549" w:rsidP="00484914">
      <w:pPr>
        <w:tabs>
          <w:tab w:val="left" w:pos="1440"/>
        </w:tabs>
        <w:ind w:firstLine="720"/>
      </w:pPr>
      <w:r w:rsidRPr="0047127A">
        <w:lastRenderedPageBreak/>
        <w:t>A</w:t>
      </w:r>
      <w:r w:rsidR="001A2869">
        <w:t>s we explain today, a</w:t>
      </w:r>
      <w:r w:rsidRPr="0047127A">
        <w:t xml:space="preserve"> </w:t>
      </w:r>
      <w:r w:rsidR="00815167" w:rsidRPr="0047127A">
        <w:t xml:space="preserve">magistrate proceeding </w:t>
      </w:r>
      <w:r w:rsidRPr="0047127A">
        <w:t>is</w:t>
      </w:r>
      <w:r w:rsidR="00815167" w:rsidRPr="0047127A">
        <w:t xml:space="preserve"> </w:t>
      </w:r>
      <w:r w:rsidR="000010D5" w:rsidRPr="0047127A">
        <w:t>(</w:t>
      </w:r>
      <w:r w:rsidRPr="0047127A">
        <w:t>and has always been</w:t>
      </w:r>
      <w:r w:rsidR="000010D5" w:rsidRPr="0047127A">
        <w:t>)</w:t>
      </w:r>
      <w:r w:rsidRPr="0047127A">
        <w:t xml:space="preserve"> a separate proceeding from a trial court proceeding, and therefore the circumstance that the trial court needed to look at the record of a separate proceeding </w:t>
      </w:r>
      <w:r w:rsidR="00815167" w:rsidRPr="0047127A">
        <w:t xml:space="preserve">to resolve defendant’s section 995 motion </w:t>
      </w:r>
      <w:r w:rsidRPr="0047127A">
        <w:t>is of no legal consequence.</w:t>
      </w:r>
      <w:bookmarkEnd w:id="17"/>
      <w:r w:rsidR="00484914">
        <w:t xml:space="preserve">  </w:t>
      </w:r>
      <w:r w:rsidR="000010D5" w:rsidRPr="0047127A">
        <w:t>Accordingly, w</w:t>
      </w:r>
      <w:r w:rsidR="00663024" w:rsidRPr="0047127A">
        <w:t xml:space="preserve">e </w:t>
      </w:r>
      <w:r w:rsidR="00EE7DFF" w:rsidRPr="0047127A">
        <w:t xml:space="preserve">conclude that </w:t>
      </w:r>
      <w:r w:rsidR="000010D5" w:rsidRPr="0047127A">
        <w:t xml:space="preserve">when </w:t>
      </w:r>
      <w:r w:rsidR="00EE7DFF" w:rsidRPr="0047127A">
        <w:t xml:space="preserve">a trial court </w:t>
      </w:r>
      <w:r w:rsidR="000010D5" w:rsidRPr="0047127A">
        <w:t xml:space="preserve">addresses </w:t>
      </w:r>
      <w:r w:rsidR="006A6AB5" w:rsidRPr="0047127A">
        <w:t>a section 995 motion</w:t>
      </w:r>
      <w:r w:rsidR="000010D5" w:rsidRPr="0047127A">
        <w:t xml:space="preserve">, it </w:t>
      </w:r>
      <w:r w:rsidR="00EE7DFF" w:rsidRPr="0047127A">
        <w:t xml:space="preserve">is free to consider the records of </w:t>
      </w:r>
      <w:r w:rsidR="00DD6127" w:rsidRPr="0047127A">
        <w:t>multiple magistrate pro</w:t>
      </w:r>
      <w:r w:rsidR="00DA4AA2" w:rsidRPr="0047127A">
        <w:t xml:space="preserve">ceedings </w:t>
      </w:r>
      <w:r w:rsidR="006A6AB5" w:rsidRPr="0047127A">
        <w:t>and no consolidation of those proceedings, or their records, is necessary.</w:t>
      </w:r>
      <w:r w:rsidR="00CF3E4A" w:rsidRPr="0047127A">
        <w:t xml:space="preserve">  Indeed, if </w:t>
      </w:r>
      <w:r w:rsidR="000010D5" w:rsidRPr="0047127A">
        <w:t xml:space="preserve">a </w:t>
      </w:r>
      <w:r w:rsidR="00CF3E4A" w:rsidRPr="0047127A">
        <w:t xml:space="preserve">trial court were not permitted to do so, </w:t>
      </w:r>
      <w:r w:rsidR="000010D5" w:rsidRPr="0047127A">
        <w:t xml:space="preserve">then </w:t>
      </w:r>
      <w:r w:rsidR="00CF3E4A" w:rsidRPr="0047127A">
        <w:t>the district attorney’s broad authority under section 954’s joinder clause to join related charges in a single information</w:t>
      </w:r>
      <w:r w:rsidR="000010D5" w:rsidRPr="0047127A">
        <w:t xml:space="preserve"> would be unduly constrained</w:t>
      </w:r>
      <w:r w:rsidR="00CF3E4A" w:rsidRPr="0047127A">
        <w:t>.</w:t>
      </w:r>
      <w:r w:rsidR="00484914">
        <w:t xml:space="preserve">  </w:t>
      </w:r>
      <w:r w:rsidR="005762E7">
        <w:t>T</w:t>
      </w:r>
      <w:r w:rsidR="00D248A8" w:rsidRPr="0047127A">
        <w:t xml:space="preserve">herefore, </w:t>
      </w:r>
      <w:r w:rsidR="00173C5F" w:rsidRPr="0047127A">
        <w:t xml:space="preserve">the trial court erred when it looked only at the </w:t>
      </w:r>
      <w:r w:rsidR="00985155" w:rsidRPr="0047127A">
        <w:t xml:space="preserve">record </w:t>
      </w:r>
      <w:r w:rsidR="00B77E8A" w:rsidRPr="0047127A">
        <w:t>of</w:t>
      </w:r>
      <w:r w:rsidR="00173C5F" w:rsidRPr="0047127A">
        <w:t xml:space="preserve"> </w:t>
      </w:r>
      <w:r w:rsidR="000010D5" w:rsidRPr="0047127A">
        <w:t xml:space="preserve">magistrate </w:t>
      </w:r>
      <w:r w:rsidR="00173C5F" w:rsidRPr="0047127A">
        <w:t xml:space="preserve">case 3119 and found </w:t>
      </w:r>
      <w:r w:rsidR="00637502" w:rsidRPr="0047127A">
        <w:t xml:space="preserve">no </w:t>
      </w:r>
      <w:r w:rsidR="0031539A" w:rsidRPr="0047127A">
        <w:t xml:space="preserve">probable </w:t>
      </w:r>
      <w:r w:rsidR="00173C5F" w:rsidRPr="0047127A">
        <w:t xml:space="preserve">cause </w:t>
      </w:r>
      <w:r w:rsidR="0031539A" w:rsidRPr="0047127A">
        <w:t xml:space="preserve">to support </w:t>
      </w:r>
      <w:r w:rsidR="00173C5F" w:rsidRPr="0047127A">
        <w:t xml:space="preserve">charges 1 through 4 of the </w:t>
      </w:r>
      <w:r w:rsidR="00985155" w:rsidRPr="0047127A">
        <w:t>joint i</w:t>
      </w:r>
      <w:r w:rsidR="00173C5F" w:rsidRPr="0047127A">
        <w:t>nformation</w:t>
      </w:r>
      <w:r w:rsidR="002B79AF" w:rsidRPr="0047127A">
        <w:t>.</w:t>
      </w:r>
    </w:p>
    <w:p w14:paraId="16018F21" w14:textId="6EB20B85" w:rsidR="00B31C5F" w:rsidRPr="0047127A" w:rsidRDefault="00E00F1C" w:rsidP="0047127A">
      <w:pPr>
        <w:pStyle w:val="Heading1"/>
      </w:pPr>
      <w:r w:rsidRPr="0047127A">
        <w:t xml:space="preserve">III. </w:t>
      </w:r>
      <w:r w:rsidR="00994561" w:rsidRPr="0047127A">
        <w:t>Disposition</w:t>
      </w:r>
    </w:p>
    <w:p w14:paraId="3C9941E6" w14:textId="4D8EB18E" w:rsidR="003E0ED3" w:rsidRPr="0047127A" w:rsidRDefault="00250F14" w:rsidP="0047127A">
      <w:pPr>
        <w:pStyle w:val="MainText"/>
        <w:keepNext/>
        <w:keepLines/>
        <w:spacing w:line="400" w:lineRule="exact"/>
      </w:pPr>
      <w:r w:rsidRPr="0047127A">
        <w:t xml:space="preserve">The judgment of the Court of Appeal is affirmed except insofar as it directs the consolidation of </w:t>
      </w:r>
      <w:r w:rsidR="00D248A8" w:rsidRPr="0047127A">
        <w:t xml:space="preserve">magistrate </w:t>
      </w:r>
      <w:r w:rsidRPr="0047127A">
        <w:t xml:space="preserve">case 1499 and </w:t>
      </w:r>
      <w:r w:rsidR="00D248A8" w:rsidRPr="0047127A">
        <w:t xml:space="preserve">magistrate </w:t>
      </w:r>
      <w:r w:rsidRPr="0047127A">
        <w:t xml:space="preserve">case 3119.  </w:t>
      </w:r>
      <w:r w:rsidR="004A60A0" w:rsidRPr="0047127A">
        <w:t>I</w:t>
      </w:r>
      <w:r w:rsidRPr="0047127A">
        <w:t>n resolving defendant’s section 995 motion on remand, t</w:t>
      </w:r>
      <w:r w:rsidR="006E637A" w:rsidRPr="0047127A">
        <w:t>h</w:t>
      </w:r>
      <w:r w:rsidR="00BB72F8" w:rsidRPr="0047127A">
        <w:t xml:space="preserve">e trial court </w:t>
      </w:r>
      <w:r w:rsidRPr="0047127A">
        <w:t xml:space="preserve">is free to consider the records of </w:t>
      </w:r>
      <w:r w:rsidR="00D248A8" w:rsidRPr="0047127A">
        <w:t xml:space="preserve">both </w:t>
      </w:r>
      <w:r w:rsidRPr="0047127A">
        <w:t>magistrate</w:t>
      </w:r>
      <w:r w:rsidR="00D248A8" w:rsidRPr="0047127A">
        <w:t xml:space="preserve"> </w:t>
      </w:r>
      <w:r w:rsidRPr="0047127A">
        <w:t>cases</w:t>
      </w:r>
      <w:r w:rsidR="004A60A0" w:rsidRPr="0047127A">
        <w:t>, and no consolidation of those cases is necessary</w:t>
      </w:r>
      <w:r w:rsidR="006E637A" w:rsidRPr="0047127A">
        <w:t>.</w:t>
      </w:r>
    </w:p>
    <w:p w14:paraId="5E81E2B4" w14:textId="77777777" w:rsidR="003E0ED3" w:rsidRPr="0047127A" w:rsidRDefault="003E0ED3" w:rsidP="0047127A">
      <w:pPr>
        <w:tabs>
          <w:tab w:val="left" w:pos="1440"/>
        </w:tabs>
        <w:ind w:firstLine="720"/>
        <w:rPr>
          <w:b/>
          <w:caps/>
        </w:rPr>
      </w:pPr>
      <w:r w:rsidRPr="0047127A">
        <w:tab/>
      </w:r>
      <w:r w:rsidRPr="0047127A">
        <w:tab/>
      </w:r>
      <w:r w:rsidRPr="0047127A">
        <w:tab/>
      </w:r>
      <w:r w:rsidRPr="0047127A">
        <w:tab/>
      </w:r>
      <w:r w:rsidRPr="0047127A">
        <w:tab/>
      </w:r>
      <w:r w:rsidRPr="0047127A">
        <w:tab/>
      </w:r>
      <w:r w:rsidRPr="0047127A">
        <w:rPr>
          <w:b/>
          <w:caps/>
        </w:rPr>
        <w:t>Jenkins, J.</w:t>
      </w:r>
    </w:p>
    <w:p w14:paraId="1BF9357F" w14:textId="0357586F" w:rsidR="00424FAC" w:rsidRPr="0052255D" w:rsidRDefault="00424FAC" w:rsidP="00424FAC">
      <w:pPr>
        <w:ind w:left="4320"/>
      </w:pPr>
    </w:p>
    <w:p w14:paraId="4286084D" w14:textId="77777777" w:rsidR="00424FAC" w:rsidRDefault="00424FAC" w:rsidP="00424FAC">
      <w:pPr>
        <w:tabs>
          <w:tab w:val="left" w:pos="1440"/>
        </w:tabs>
        <w:spacing w:after="240"/>
        <w:rPr>
          <w:b/>
        </w:rPr>
      </w:pPr>
      <w:r w:rsidRPr="00DC4B44">
        <w:rPr>
          <w:b/>
        </w:rPr>
        <w:t>We Concur</w:t>
      </w:r>
      <w:r>
        <w:rPr>
          <w:b/>
        </w:rPr>
        <w:t>:</w:t>
      </w:r>
    </w:p>
    <w:p w14:paraId="0966F294" w14:textId="77777777" w:rsidR="00424FAC" w:rsidRDefault="00424FAC" w:rsidP="00424FAC">
      <w:pPr>
        <w:pStyle w:val="Text"/>
        <w:spacing w:after="0" w:line="240" w:lineRule="auto"/>
        <w:ind w:firstLine="0"/>
        <w:rPr>
          <w:b/>
          <w:caps/>
        </w:rPr>
      </w:pPr>
      <w:r w:rsidRPr="0052255D">
        <w:rPr>
          <w:b/>
          <w:caps/>
        </w:rPr>
        <w:t>CANTIL-Sakauye, C. J.</w:t>
      </w:r>
    </w:p>
    <w:p w14:paraId="2AF95089" w14:textId="10A79E0C" w:rsidR="00424FAC" w:rsidRDefault="00424FAC" w:rsidP="00424FAC">
      <w:pPr>
        <w:pStyle w:val="Text"/>
        <w:spacing w:after="0" w:line="240" w:lineRule="auto"/>
        <w:ind w:firstLine="0"/>
        <w:rPr>
          <w:b/>
          <w:bCs/>
        </w:rPr>
      </w:pPr>
      <w:r>
        <w:rPr>
          <w:b/>
          <w:bCs/>
        </w:rPr>
        <w:t>CORRIGAN, J.</w:t>
      </w:r>
    </w:p>
    <w:p w14:paraId="7C7DF36F" w14:textId="77777777" w:rsidR="00424FAC" w:rsidRDefault="00424FAC" w:rsidP="00424FAC">
      <w:pPr>
        <w:pStyle w:val="Text"/>
        <w:spacing w:after="0" w:line="240" w:lineRule="auto"/>
        <w:ind w:firstLine="0"/>
        <w:rPr>
          <w:b/>
          <w:bCs/>
        </w:rPr>
      </w:pPr>
      <w:r>
        <w:rPr>
          <w:b/>
          <w:bCs/>
        </w:rPr>
        <w:t>GUERRERO, J.</w:t>
      </w:r>
    </w:p>
    <w:p w14:paraId="7FB47588" w14:textId="77777777" w:rsidR="00BF3240" w:rsidRDefault="00BF3240" w:rsidP="0047127A">
      <w:pPr>
        <w:tabs>
          <w:tab w:val="left" w:pos="1440"/>
        </w:tabs>
        <w:rPr>
          <w:strike/>
        </w:rPr>
        <w:sectPr w:rsidR="00BF3240" w:rsidSect="0047127A">
          <w:footerReference w:type="first" r:id="rId9"/>
          <w:pgSz w:w="12240" w:h="15840"/>
          <w:pgMar w:top="1800" w:right="2160" w:bottom="1440" w:left="2160" w:header="720" w:footer="720" w:gutter="0"/>
          <w:pgNumType w:start="1"/>
          <w:cols w:space="720"/>
          <w:titlePg/>
          <w:docGrid w:linePitch="367"/>
        </w:sectPr>
      </w:pPr>
    </w:p>
    <w:p w14:paraId="56567988" w14:textId="77777777" w:rsidR="00BF3240" w:rsidRPr="00BF3240" w:rsidRDefault="00BF3240" w:rsidP="00BF3240">
      <w:pPr>
        <w:jc w:val="center"/>
      </w:pPr>
      <w:r w:rsidRPr="00BF3240">
        <w:lastRenderedPageBreak/>
        <w:t>PEOPLE v. HENSON</w:t>
      </w:r>
    </w:p>
    <w:p w14:paraId="4E81296E" w14:textId="77777777" w:rsidR="00BF3240" w:rsidRPr="00BF3240" w:rsidRDefault="00BF3240" w:rsidP="00BF3240">
      <w:pPr>
        <w:jc w:val="center"/>
      </w:pPr>
      <w:r w:rsidRPr="00BF3240">
        <w:t>S252702</w:t>
      </w:r>
    </w:p>
    <w:p w14:paraId="4C1F3554" w14:textId="77777777" w:rsidR="00BF3240" w:rsidRPr="00BF3240" w:rsidRDefault="00BF3240" w:rsidP="00BF3240">
      <w:pPr>
        <w:jc w:val="center"/>
      </w:pPr>
    </w:p>
    <w:p w14:paraId="644DC595" w14:textId="77777777" w:rsidR="00BF3240" w:rsidRPr="00BF3240" w:rsidRDefault="00BF3240" w:rsidP="00BF3240">
      <w:pPr>
        <w:jc w:val="center"/>
      </w:pPr>
      <w:r w:rsidRPr="00BF3240">
        <w:t>Dissenting Opinion by Justice Kruger</w:t>
      </w:r>
    </w:p>
    <w:p w14:paraId="16A1DED1" w14:textId="77777777" w:rsidR="00BF3240" w:rsidRPr="00BF3240" w:rsidRDefault="00BF3240" w:rsidP="00BF3240">
      <w:pPr>
        <w:jc w:val="center"/>
      </w:pPr>
    </w:p>
    <w:p w14:paraId="5AEDAACD" w14:textId="77777777" w:rsidR="00BF3240" w:rsidRPr="00BF3240" w:rsidRDefault="00BF3240" w:rsidP="00BF3240">
      <w:pPr>
        <w:ind w:firstLine="720"/>
        <w:rPr>
          <w:szCs w:val="27"/>
        </w:rPr>
      </w:pPr>
      <w:r w:rsidRPr="00BF3240">
        <w:rPr>
          <w:szCs w:val="27"/>
        </w:rPr>
        <w:t>As the dissenting justice in the Court of Appeal observed, the question of felony charging procedure at issue in this case “arises from an unusual situation.”  (</w:t>
      </w:r>
      <w:r w:rsidRPr="00BF3240">
        <w:rPr>
          <w:i/>
          <w:iCs/>
          <w:szCs w:val="27"/>
        </w:rPr>
        <w:t>People v. Henson</w:t>
      </w:r>
      <w:r w:rsidRPr="00BF3240">
        <w:rPr>
          <w:szCs w:val="27"/>
        </w:rPr>
        <w:t xml:space="preserve"> (2018) 28 Cal.App.5th 490, 514 (dis. opn. of Smith, J.) (</w:t>
      </w:r>
      <w:r w:rsidRPr="00BF3240">
        <w:rPr>
          <w:i/>
          <w:iCs/>
          <w:szCs w:val="27"/>
        </w:rPr>
        <w:t>Henson</w:t>
      </w:r>
      <w:r w:rsidRPr="00BF3240">
        <w:rPr>
          <w:szCs w:val="27"/>
        </w:rPr>
        <w:t xml:space="preserve">).)  The majority gives an equally unusual answer.  </w:t>
      </w:r>
    </w:p>
    <w:p w14:paraId="6ABE611F" w14:textId="77777777" w:rsidR="00BF3240" w:rsidRPr="00BF3240" w:rsidRDefault="00BF3240" w:rsidP="00BF3240">
      <w:pPr>
        <w:ind w:firstLine="720"/>
        <w:rPr>
          <w:szCs w:val="27"/>
        </w:rPr>
      </w:pPr>
      <w:r w:rsidRPr="00BF3240">
        <w:rPr>
          <w:szCs w:val="27"/>
        </w:rPr>
        <w:t xml:space="preserve">As a rule, a court order is required to consolidate charges stemming from different “accusatory pleadings” — a term that includes both criminal complaints and the informations that follow.  (Pen. Code, § 954; see </w:t>
      </w:r>
      <w:r w:rsidRPr="00BF3240">
        <w:rPr>
          <w:i/>
          <w:iCs/>
          <w:szCs w:val="27"/>
        </w:rPr>
        <w:t>id.</w:t>
      </w:r>
      <w:r w:rsidRPr="00BF3240">
        <w:rPr>
          <w:szCs w:val="27"/>
        </w:rPr>
        <w:t>, § 691, subd. (c).)  But here the district attorney argues that on the rare occasion when a defendant is held to answer on two different criminal complaints within the span of 15 days — the statutory time period for filing an information after a defendant’s preliminary examination on a complaint (</w:t>
      </w:r>
      <w:r w:rsidRPr="00BF3240">
        <w:rPr>
          <w:i/>
          <w:iCs/>
          <w:szCs w:val="27"/>
        </w:rPr>
        <w:t>id.</w:t>
      </w:r>
      <w:r w:rsidRPr="00BF3240">
        <w:rPr>
          <w:szCs w:val="27"/>
        </w:rPr>
        <w:t xml:space="preserve">, § 739) — a prosecutor may file a single information charging both sets of offenses, thereby in effect consolidating the criminal cases without the court leave that would be required in all other instances. </w:t>
      </w:r>
    </w:p>
    <w:p w14:paraId="24A0DC9F" w14:textId="77777777" w:rsidR="00BF3240" w:rsidRPr="00BF3240" w:rsidRDefault="00BF3240" w:rsidP="00BF3240">
      <w:pPr>
        <w:ind w:firstLine="720"/>
        <w:rPr>
          <w:szCs w:val="27"/>
        </w:rPr>
      </w:pPr>
      <w:r w:rsidRPr="00BF3240">
        <w:rPr>
          <w:szCs w:val="27"/>
        </w:rPr>
        <w:t>The majority approves this maneuver, understanding the result as dictated by language in Penal Code section 954 allowing prosecutors to charge more than one offense in an information.  I do not share this understanding, and so I would not approve this unusual deviation from standard charging procedures.</w:t>
      </w:r>
    </w:p>
    <w:p w14:paraId="4A3C8AFD" w14:textId="77777777" w:rsidR="00BF3240" w:rsidRPr="00BF3240" w:rsidRDefault="00BF3240" w:rsidP="00BF3240">
      <w:pPr>
        <w:keepNext/>
        <w:jc w:val="center"/>
        <w:rPr>
          <w:b/>
          <w:bCs/>
          <w:szCs w:val="27"/>
        </w:rPr>
      </w:pPr>
      <w:r w:rsidRPr="00BF3240">
        <w:rPr>
          <w:b/>
          <w:bCs/>
          <w:szCs w:val="27"/>
        </w:rPr>
        <w:lastRenderedPageBreak/>
        <w:t>A.</w:t>
      </w:r>
    </w:p>
    <w:p w14:paraId="0FACF3D7" w14:textId="77777777" w:rsidR="00BF3240" w:rsidRPr="00BF3240" w:rsidRDefault="00BF3240" w:rsidP="00BF3240">
      <w:pPr>
        <w:ind w:firstLine="720"/>
        <w:rPr>
          <w:szCs w:val="27"/>
        </w:rPr>
      </w:pPr>
      <w:r w:rsidRPr="00BF3240">
        <w:rPr>
          <w:szCs w:val="27"/>
        </w:rPr>
        <w:t>On two separate occasions in early 2016, the district attorney filed two separate criminal complaints against defendant Cody Wade Henson, based on separate incidents.  Although the complaints were filed months apart — based on incidents that likewise occurred months apart — it so happens that the preliminary hearings in the two cases were held in back-to-back weeks.  The magistrate issued an order holding Henson to answer to the charges in both cases.</w:t>
      </w:r>
    </w:p>
    <w:p w14:paraId="7913301B" w14:textId="77777777" w:rsidR="00BF3240" w:rsidRPr="00BF3240" w:rsidRDefault="00BF3240" w:rsidP="00BF3240">
      <w:pPr>
        <w:ind w:firstLine="720"/>
        <w:rPr>
          <w:szCs w:val="27"/>
        </w:rPr>
      </w:pPr>
      <w:r w:rsidRPr="00BF3240">
        <w:rPr>
          <w:szCs w:val="27"/>
        </w:rPr>
        <w:t>Rather than filing two informations — one for each set of charges — and asking the court to consolidate the cases, the district attorney combined charges from both cases in a single information and presented that “joint” information to the superior court for filing.  This was evidently not a kind of filing the superior court had seen much before; confusion ensued while court personnel worked to determine how, precisely, the two criminal cases against Henson had come to be consolidated without a court order and what consequences would follow (including, ultimately, the disqualification of one of Henson’s defense attorneys).  Nor is it a kind of filing any California court has seen much before.  Indeed, the parties here have found no other example of a similar “joint” information, filed without court approval, in any reported decision in California judicial history.</w:t>
      </w:r>
      <w:r w:rsidRPr="00BF3240">
        <w:rPr>
          <w:rFonts w:ascii="Times New Roman" w:hAnsi="Times New Roman"/>
          <w:sz w:val="16"/>
          <w:szCs w:val="16"/>
        </w:rPr>
        <w:t xml:space="preserve"> </w:t>
      </w:r>
    </w:p>
    <w:p w14:paraId="70297411" w14:textId="77777777" w:rsidR="00BF3240" w:rsidRPr="00BF3240" w:rsidRDefault="00BF3240" w:rsidP="00BF3240">
      <w:pPr>
        <w:ind w:firstLine="720"/>
        <w:rPr>
          <w:szCs w:val="27"/>
        </w:rPr>
      </w:pPr>
      <w:r w:rsidRPr="00BF3240">
        <w:rPr>
          <w:szCs w:val="27"/>
        </w:rPr>
        <w:t xml:space="preserve">Whether this unusual filing was permissible turns primarily on two sections of the Penal Code governing the early stages of felony cases.  Penal Code section 739, which governs the filing of informations, provides:  “When a defendant has been examined and committed, as provided in Section 872, it shall be the duty of the district attorney of the county in which the </w:t>
      </w:r>
      <w:r w:rsidRPr="00BF3240">
        <w:rPr>
          <w:szCs w:val="27"/>
        </w:rPr>
        <w:lastRenderedPageBreak/>
        <w:t>offense is triable to file in the superior court of that county within 15 days after the commitment, an information against the defendant which may charge the defendant with either the offense or offenses named in the order of commitment or any offense or offenses shown by the evidence taken before the magistrate to have been committed.”  (Pen. Code, § 739 (section 739).)</w:t>
      </w:r>
    </w:p>
    <w:p w14:paraId="01569E8D" w14:textId="77777777" w:rsidR="00BF3240" w:rsidRPr="00BF3240" w:rsidRDefault="00BF3240" w:rsidP="00BF3240">
      <w:pPr>
        <w:ind w:firstLine="720"/>
        <w:rPr>
          <w:szCs w:val="27"/>
        </w:rPr>
      </w:pPr>
      <w:r w:rsidRPr="00BF3240">
        <w:rPr>
          <w:szCs w:val="27"/>
        </w:rPr>
        <w:t>Penal Code section 954, for its part, contains general instructions for the handling of cases involving multiple offenses or multiple statements of the same offense.  We are here concerned only with its first sentence, which contains two clauses pertaining to the contents of accusatory pleadings.  The first clause — the so-called “joinder clause” — provides that a single accusatory pleading may charge more than one offense:  “An accusatory pleading may charge two or more different offenses connected together in their commission, or different statements of the same offense or two or more different offenses of the same class of crimes or offenses, under separate counts.”  (§ 954 (section 954).)  The “consolidation clause,” for its part, explains the process by which charges from separate accusatory pleadings may be consolidated into a single accusatory pleading:  “[I]f two or more accusatory pleadings are filed in such cases in the same court, the court may order them to be consolidated.”  (</w:t>
      </w:r>
      <w:r w:rsidRPr="00BF3240">
        <w:rPr>
          <w:i/>
          <w:iCs/>
          <w:szCs w:val="27"/>
        </w:rPr>
        <w:t>Ibid.</w:t>
      </w:r>
      <w:r w:rsidRPr="00BF3240">
        <w:rPr>
          <w:szCs w:val="27"/>
        </w:rPr>
        <w:t>)</w:t>
      </w:r>
    </w:p>
    <w:p w14:paraId="730D29C3" w14:textId="77777777" w:rsidR="00BF3240" w:rsidRPr="00BF3240" w:rsidRDefault="00BF3240" w:rsidP="00BF3240">
      <w:pPr>
        <w:ind w:firstLine="720"/>
        <w:rPr>
          <w:szCs w:val="27"/>
        </w:rPr>
      </w:pPr>
      <w:r w:rsidRPr="00BF3240">
        <w:rPr>
          <w:szCs w:val="27"/>
        </w:rPr>
        <w:t xml:space="preserve">Here is how the statutes ordinarily work in the typical felony case that is initiated by the filing of a criminal complaint.  (See Pen. Code, § 806 [requirements for filing a criminal complaint]; </w:t>
      </w:r>
      <w:r w:rsidRPr="00BF3240">
        <w:rPr>
          <w:i/>
          <w:iCs/>
          <w:szCs w:val="27"/>
        </w:rPr>
        <w:t>In re Harris</w:t>
      </w:r>
      <w:r w:rsidRPr="00BF3240">
        <w:rPr>
          <w:szCs w:val="27"/>
        </w:rPr>
        <w:t xml:space="preserve"> (1989) 49 Cal.3d 131, 137; </w:t>
      </w:r>
      <w:r w:rsidRPr="00BF3240">
        <w:rPr>
          <w:i/>
          <w:iCs/>
          <w:szCs w:val="27"/>
        </w:rPr>
        <w:t>Lempert v. Superior Court</w:t>
      </w:r>
      <w:r w:rsidRPr="00BF3240">
        <w:rPr>
          <w:szCs w:val="27"/>
        </w:rPr>
        <w:t xml:space="preserve"> (2003) 112 Cal.App.4th 1161, 1168.)  Once the complaint is filed, “a magistrate of the court in which the </w:t>
      </w:r>
      <w:r w:rsidRPr="00BF3240">
        <w:rPr>
          <w:szCs w:val="27"/>
        </w:rPr>
        <w:lastRenderedPageBreak/>
        <w:t>complaint is on file” (Pen. Code, § 859) conducts a preliminary examination to determine whether the charges in the complaint are supported by probable cause to believe the defendant committed the offense or offenses, and, if so, issues an order holding the defendant to answer.  (</w:t>
      </w:r>
      <w:r w:rsidRPr="00BF3240">
        <w:rPr>
          <w:i/>
          <w:iCs/>
          <w:szCs w:val="27"/>
        </w:rPr>
        <w:t>Id.</w:t>
      </w:r>
      <w:r w:rsidRPr="00BF3240">
        <w:rPr>
          <w:szCs w:val="27"/>
        </w:rPr>
        <w:t xml:space="preserve">, § 872, subd. (a); see </w:t>
      </w:r>
      <w:r w:rsidRPr="00BF3240">
        <w:rPr>
          <w:i/>
          <w:iCs/>
          <w:szCs w:val="27"/>
        </w:rPr>
        <w:t>People v. Maldonado</w:t>
      </w:r>
      <w:r w:rsidRPr="00BF3240">
        <w:rPr>
          <w:szCs w:val="27"/>
        </w:rPr>
        <w:t xml:space="preserve"> (2009) 172 Cal.App.4th 89, 94–95; </w:t>
      </w:r>
      <w:r w:rsidRPr="00BF3240">
        <w:rPr>
          <w:i/>
          <w:iCs/>
          <w:szCs w:val="27"/>
        </w:rPr>
        <w:t>Lempert</w:t>
      </w:r>
      <w:r w:rsidRPr="00BF3240">
        <w:rPr>
          <w:szCs w:val="27"/>
        </w:rPr>
        <w:t>, at pp. 1168–1169.)  Under section 739, the People then have 15 days from the date of this commitment order to file an information in superior court charging the same offenses or other offenses shown by the preliminary evidence.  (§ 739.)  The defendant is then arraigned — and ultimately tried — on the charges in the information.  (</w:t>
      </w:r>
      <w:r w:rsidRPr="00BF3240">
        <w:rPr>
          <w:i/>
          <w:iCs/>
          <w:szCs w:val="27"/>
        </w:rPr>
        <w:t>Lempert</w:t>
      </w:r>
      <w:r w:rsidRPr="00BF3240">
        <w:rPr>
          <w:szCs w:val="27"/>
        </w:rPr>
        <w:t>,</w:t>
      </w:r>
      <w:r w:rsidRPr="00BF3240">
        <w:rPr>
          <w:i/>
          <w:iCs/>
          <w:szCs w:val="27"/>
        </w:rPr>
        <w:t xml:space="preserve"> </w:t>
      </w:r>
      <w:r w:rsidRPr="00BF3240">
        <w:rPr>
          <w:szCs w:val="27"/>
        </w:rPr>
        <w:t xml:space="preserve">at p. 1169; see </w:t>
      </w:r>
      <w:r w:rsidRPr="00BF3240">
        <w:rPr>
          <w:i/>
          <w:iCs/>
          <w:szCs w:val="27"/>
        </w:rPr>
        <w:t>Maldonado</w:t>
      </w:r>
      <w:r w:rsidRPr="00BF3240">
        <w:rPr>
          <w:szCs w:val="27"/>
        </w:rPr>
        <w:t>, at pp. 94–95.)</w:t>
      </w:r>
    </w:p>
    <w:p w14:paraId="5B0813ED" w14:textId="77777777" w:rsidR="00BF3240" w:rsidRPr="00BF3240" w:rsidRDefault="00BF3240" w:rsidP="00BF3240">
      <w:pPr>
        <w:ind w:firstLine="720"/>
        <w:rPr>
          <w:szCs w:val="27"/>
        </w:rPr>
      </w:pPr>
      <w:r w:rsidRPr="00BF3240">
        <w:rPr>
          <w:szCs w:val="27"/>
        </w:rPr>
        <w:t xml:space="preserve">If the People wish to consolidate the charges contained in two or more informations (or other “accusatory pleadings . . . filed in . . . the same court”), they must file a motion.  (§ 954; see, e.g., </w:t>
      </w:r>
      <w:r w:rsidRPr="00BF3240">
        <w:rPr>
          <w:i/>
          <w:iCs/>
          <w:szCs w:val="27"/>
        </w:rPr>
        <w:t>Belton v. Superior Court</w:t>
      </w:r>
      <w:r w:rsidRPr="00BF3240">
        <w:rPr>
          <w:szCs w:val="27"/>
        </w:rPr>
        <w:t xml:space="preserve"> (1993) 19 Cal.App.4th 1279, 1281.)  In considering whether to grant the motion and consolidate pleadings for trial, a court generally “weighs ‘the potential prejudice’ ” to the defendant “ ‘against the state’s strong interest in the efficiency of a joint trial.’ ”  (</w:t>
      </w:r>
      <w:r w:rsidRPr="00BF3240">
        <w:rPr>
          <w:i/>
          <w:iCs/>
          <w:szCs w:val="27"/>
        </w:rPr>
        <w:t>People v. Merriman</w:t>
      </w:r>
      <w:r w:rsidRPr="00BF3240">
        <w:rPr>
          <w:szCs w:val="27"/>
        </w:rPr>
        <w:t xml:space="preserve"> (2014) 60 Cal.4th 1, 37.)  The law generally favors the joint trial of related offenses, but whether to grant consolidation is ultimately within the discretion of the trial court.  (</w:t>
      </w:r>
      <w:r w:rsidRPr="00BF3240">
        <w:rPr>
          <w:i/>
          <w:iCs/>
          <w:szCs w:val="27"/>
        </w:rPr>
        <w:t>Ibid.</w:t>
      </w:r>
      <w:r w:rsidRPr="00BF3240">
        <w:rPr>
          <w:szCs w:val="27"/>
        </w:rPr>
        <w:t>)</w:t>
      </w:r>
    </w:p>
    <w:p w14:paraId="5FF15AAA" w14:textId="77777777" w:rsidR="00BF3240" w:rsidRPr="00BF3240" w:rsidRDefault="00BF3240" w:rsidP="00BF3240">
      <w:pPr>
        <w:ind w:firstLine="720"/>
        <w:rPr>
          <w:szCs w:val="27"/>
        </w:rPr>
      </w:pPr>
      <w:r w:rsidRPr="00BF3240">
        <w:rPr>
          <w:szCs w:val="27"/>
        </w:rPr>
        <w:t xml:space="preserve">In this case, the majority agrees with the district attorney that no court permission was required to combine the charges from the two complaints filed against Henson into a single information.  The majority reasons, as an initial matter, that the consolidation clause of section 954 is inapplicable during the 15-day statutory window between the preliminary examination on </w:t>
      </w:r>
      <w:r w:rsidRPr="00BF3240">
        <w:rPr>
          <w:szCs w:val="27"/>
        </w:rPr>
        <w:lastRenderedPageBreak/>
        <w:t xml:space="preserve">the charges in the complaint and the filing of the information.  And although the majority, unlike the Court of Appeal, does not then read into the consolidation clause an affirmative authorization to do what the district attorney did here, the majority does read such authorization into section 954’s adjacent joinder clause, which permits a district attorney to charge more than one offense in an accusatory pleading.  The power to charge more than one offense in a single information, the majority reasons, necessarily includes the power to charge different offenses that were the subject of different complaints, different preliminary examinations, and different commitment orders, so long as section 739’s 15-day time limit is satisfied with respect to all charges.  (Maj. opn., </w:t>
      </w:r>
      <w:r w:rsidRPr="00BF3240">
        <w:rPr>
          <w:i/>
          <w:iCs/>
          <w:szCs w:val="27"/>
        </w:rPr>
        <w:t>ante</w:t>
      </w:r>
      <w:r w:rsidRPr="00BF3240">
        <w:rPr>
          <w:szCs w:val="27"/>
        </w:rPr>
        <w:t>, at p. 2.)</w:t>
      </w:r>
    </w:p>
    <w:p w14:paraId="4930175B" w14:textId="77777777" w:rsidR="00BF3240" w:rsidRPr="00BF3240" w:rsidRDefault="00BF3240" w:rsidP="00BF3240">
      <w:pPr>
        <w:ind w:firstLine="720"/>
        <w:rPr>
          <w:szCs w:val="27"/>
        </w:rPr>
      </w:pPr>
      <w:r w:rsidRPr="00BF3240">
        <w:rPr>
          <w:szCs w:val="27"/>
        </w:rPr>
        <w:t xml:space="preserve">In my view, this conclusion reads too much into section 954’s joinder clause and too little into the broader statutory context and historical practice.  Let’s take the joinder clause first.  Again, that clause simply provides, as relevant here, that “[a]n accusatory pleading may charge two or more different offenses” if the offenses are sufficiently related.  (§ 954.)  Nothing in this language speaks directly to the question before us.  Certainly the joinder clause permits a district attorney to charge more than one offense in an information (or in any other accusatory pleading, for that matter).  But contrary to the majority’s seeming suggestion (maj. opn., </w:t>
      </w:r>
      <w:r w:rsidRPr="00BF3240">
        <w:rPr>
          <w:i/>
          <w:iCs/>
          <w:szCs w:val="27"/>
        </w:rPr>
        <w:t>ante</w:t>
      </w:r>
      <w:r w:rsidRPr="00BF3240">
        <w:rPr>
          <w:szCs w:val="27"/>
        </w:rPr>
        <w:t xml:space="preserve">, at pp. 27–28), this does not mean the district attorney can charge any two related offenses the district attorney pleases, in any manner the district attorney pleases.  The joinder clause offers no explicit authority to charge more than one offense where the relevant offenses were charged in different complaints, subject to different preliminary examinations, and the subject of different </w:t>
      </w:r>
      <w:r w:rsidRPr="00BF3240">
        <w:rPr>
          <w:szCs w:val="27"/>
        </w:rPr>
        <w:lastRenderedPageBreak/>
        <w:t>commitment orders.  Nor does it otherwise address the steps a prosecutor must follow in filing any pleadings, or the process by which charges already filed may be combined into a single pleading for purposes of trial.  Other provisions address those matters, and the joinder clause contains no language purporting to override other applicable law.</w:t>
      </w:r>
    </w:p>
    <w:p w14:paraId="54FCD19A" w14:textId="77777777" w:rsidR="00BF3240" w:rsidRPr="00BF3240" w:rsidRDefault="00BF3240" w:rsidP="00BF3240">
      <w:pPr>
        <w:ind w:firstLine="720"/>
        <w:rPr>
          <w:szCs w:val="27"/>
        </w:rPr>
      </w:pPr>
      <w:r w:rsidRPr="00BF3240">
        <w:rPr>
          <w:szCs w:val="27"/>
        </w:rPr>
        <w:t>In case there was any doubt, history confirms that the purpose of the joinder provision was simply to do what it says:  allow the charging of more than one offense in a single accusatory pleading.  Before the joinder clause was added in its present form in 1915, the California rule was generally that “the accusatory pleading could charge but one offense.”  (</w:t>
      </w:r>
      <w:r w:rsidRPr="00BF3240">
        <w:rPr>
          <w:i/>
          <w:iCs/>
          <w:szCs w:val="27"/>
        </w:rPr>
        <w:t>People v. Tideman</w:t>
      </w:r>
      <w:r w:rsidRPr="00BF3240">
        <w:rPr>
          <w:szCs w:val="27"/>
        </w:rPr>
        <w:t xml:space="preserve"> (1962) 57 Cal.2d 574, 579; see </w:t>
      </w:r>
      <w:r w:rsidRPr="00BF3240">
        <w:rPr>
          <w:i/>
          <w:iCs/>
          <w:szCs w:val="27"/>
        </w:rPr>
        <w:t>People v. Taggart</w:t>
      </w:r>
      <w:r w:rsidRPr="00BF3240">
        <w:rPr>
          <w:szCs w:val="27"/>
        </w:rPr>
        <w:t xml:space="preserve"> (1872) 43 Cal. 81, 83 [demurrer to indictment proper “on the ground that it charges two offenses”].)</w:t>
      </w:r>
      <w:r w:rsidRPr="00BF3240">
        <w:rPr>
          <w:b/>
          <w:position w:val="6"/>
          <w:sz w:val="20"/>
          <w:szCs w:val="27"/>
        </w:rPr>
        <w:footnoteReference w:id="22"/>
      </w:r>
      <w:r w:rsidRPr="00BF3240">
        <w:rPr>
          <w:szCs w:val="27"/>
        </w:rPr>
        <w:t xml:space="preserve">  “In 1915, however, section 954 was amended to, for the first time in this state, . . . authorize the charging in one indictment or information of ‘two or more different offenses connected together in their commission, or different statements of the same offense or two or more different offenses of the same class of crimes.’ ”  (</w:t>
      </w:r>
      <w:r w:rsidRPr="00BF3240">
        <w:rPr>
          <w:i/>
          <w:iCs/>
          <w:szCs w:val="27"/>
        </w:rPr>
        <w:t>Tideman</w:t>
      </w:r>
      <w:r w:rsidRPr="00BF3240">
        <w:rPr>
          <w:szCs w:val="27"/>
        </w:rPr>
        <w:t xml:space="preserve">,  at p. 580; see 14 Cal.Jur., </w:t>
      </w:r>
      <w:r w:rsidRPr="00BF3240">
        <w:rPr>
          <w:i/>
          <w:iCs/>
          <w:szCs w:val="27"/>
        </w:rPr>
        <w:t>supra</w:t>
      </w:r>
      <w:r w:rsidRPr="00BF3240">
        <w:rPr>
          <w:szCs w:val="27"/>
        </w:rPr>
        <w:t xml:space="preserve">, </w:t>
      </w:r>
      <w:r w:rsidRPr="00BF3240">
        <w:t>Indictment and Information</w:t>
      </w:r>
      <w:r w:rsidRPr="00BF3240">
        <w:rPr>
          <w:szCs w:val="27"/>
        </w:rPr>
        <w:t xml:space="preserve">, § 50, p. 65.)  The effect of these changes was to abrogate “the former rule forbidding the charging of more than one offense in an indictment,” under which “the people might be required at the </w:t>
      </w:r>
      <w:r w:rsidRPr="00BF3240">
        <w:rPr>
          <w:szCs w:val="27"/>
        </w:rPr>
        <w:lastRenderedPageBreak/>
        <w:t xml:space="preserve">trial to elect upon which charge it would proceed.”  (14 Cal.Jur., </w:t>
      </w:r>
      <w:r w:rsidRPr="00BF3240">
        <w:rPr>
          <w:i/>
          <w:iCs/>
          <w:szCs w:val="27"/>
        </w:rPr>
        <w:t>supra</w:t>
      </w:r>
      <w:r w:rsidRPr="00BF3240">
        <w:rPr>
          <w:szCs w:val="27"/>
        </w:rPr>
        <w:t xml:space="preserve">, </w:t>
      </w:r>
      <w:r w:rsidRPr="00BF3240">
        <w:t>Indictment and Information</w:t>
      </w:r>
      <w:r w:rsidRPr="00BF3240">
        <w:rPr>
          <w:szCs w:val="27"/>
        </w:rPr>
        <w:t xml:space="preserve">, § 53, p. 69.)  Nothing in this post-1915 grant of permission to charge multiple offenses necessarily implies a power to combine previously separate cases at the information stage, as the district attorney did here.  </w:t>
      </w:r>
    </w:p>
    <w:p w14:paraId="0201EF18" w14:textId="77777777" w:rsidR="00BF3240" w:rsidRPr="00BF3240" w:rsidRDefault="00BF3240" w:rsidP="00BF3240">
      <w:pPr>
        <w:ind w:firstLine="720"/>
        <w:rPr>
          <w:szCs w:val="27"/>
        </w:rPr>
      </w:pPr>
      <w:r w:rsidRPr="00BF3240">
        <w:rPr>
          <w:szCs w:val="27"/>
        </w:rPr>
        <w:t xml:space="preserve">For more concrete guidance about what procedures a prosecutor must follow in combining previously separate charges in a single information, we have to look beyond section 954’s joinder clause.  One place to start is the very next clause of section 954, the consolidation clause, which says that “if two or more accusatory pleadings are filed in such cases in the same court, </w:t>
      </w:r>
      <w:r w:rsidRPr="00BF3240">
        <w:rPr>
          <w:i/>
          <w:iCs/>
          <w:szCs w:val="27"/>
        </w:rPr>
        <w:t>the court</w:t>
      </w:r>
      <w:r w:rsidRPr="00BF3240">
        <w:rPr>
          <w:szCs w:val="27"/>
        </w:rPr>
        <w:t xml:space="preserve"> may order them to be consolidated.”  (Italics added.)  And another place to look is section 739, which contains instructions specific to the filing of informations.  Section 739, as relevant here, places a “duty” on the district attorney to file “an information” charging the defendant with the offenses “named in the order of commitment” or “shown by the evidence taken before the magistrate to have been committed.”  (§ 739, italics added.)  The uses of the singular — “order,” not “orders,” “magistrate,” not “magistrates” — suggest that a felony information is based on the evidence adduced at a single preliminary hearing before a single magistrate.  On this understanding, section 739 works in harmony with both clauses of section 954:  The People can, of course, file more than one information, and under section 954’s joinder clause, each information may charge more than one offense based on the preliminary hearing evidence.  If the People then wish to consolidate charges for trial, they may do so, but they must first seek the court’s leave under the consolidation clause of section 954.</w:t>
      </w:r>
    </w:p>
    <w:p w14:paraId="1F3E1FA5" w14:textId="77777777" w:rsidR="00BF3240" w:rsidRPr="00BF3240" w:rsidRDefault="00BF3240" w:rsidP="00BF3240">
      <w:pPr>
        <w:ind w:firstLine="720"/>
        <w:rPr>
          <w:szCs w:val="27"/>
        </w:rPr>
      </w:pPr>
      <w:r w:rsidRPr="00BF3240">
        <w:rPr>
          <w:szCs w:val="27"/>
        </w:rPr>
        <w:lastRenderedPageBreak/>
        <w:t xml:space="preserve">The majority worries that accepting this straightforward view of the statutory scheme “would require us to violate a canon of statutory interpretation, since it would mean that section 739 silently modifies section 954.”  (Maj. opn., </w:t>
      </w:r>
      <w:r w:rsidRPr="00BF3240">
        <w:rPr>
          <w:i/>
          <w:iCs/>
          <w:szCs w:val="27"/>
        </w:rPr>
        <w:t>ante</w:t>
      </w:r>
      <w:r w:rsidRPr="00BF3240">
        <w:rPr>
          <w:szCs w:val="27"/>
        </w:rPr>
        <w:t>, at p. 34.)  But it violates no canon of statutory interpretation to harmonize two statutes; indeed we must do so whenever harmonization is “ ‘reasonably possible,’ ” as it is here.  (</w:t>
      </w:r>
      <w:r w:rsidRPr="00BF3240">
        <w:rPr>
          <w:i/>
          <w:iCs/>
          <w:szCs w:val="27"/>
        </w:rPr>
        <w:t>State Dept. of Public Health v. Superior Court</w:t>
      </w:r>
      <w:r w:rsidRPr="00BF3240">
        <w:rPr>
          <w:szCs w:val="27"/>
        </w:rPr>
        <w:t xml:space="preserve"> (2015) 60 Cal.4th 940, 955.) </w:t>
      </w:r>
    </w:p>
    <w:p w14:paraId="2D50D210" w14:textId="77777777" w:rsidR="00BF3240" w:rsidRPr="00BF3240" w:rsidRDefault="00BF3240" w:rsidP="00BF3240">
      <w:pPr>
        <w:ind w:firstLine="720"/>
        <w:rPr>
          <w:szCs w:val="27"/>
        </w:rPr>
      </w:pPr>
      <w:r w:rsidRPr="00BF3240">
        <w:rPr>
          <w:szCs w:val="27"/>
        </w:rPr>
        <w:t>The Court of Appeal rejected this view for a different reason.  In particular, it dismissed the wording of section 739 as unilluminating, citing the general interpretive principle that “ ‘the singular number includes the plural, and the plural the singular.’ ”  (</w:t>
      </w:r>
      <w:r w:rsidRPr="00BF3240">
        <w:rPr>
          <w:i/>
          <w:iCs/>
          <w:szCs w:val="27"/>
        </w:rPr>
        <w:t>Henson</w:t>
      </w:r>
      <w:r w:rsidRPr="00BF3240">
        <w:rPr>
          <w:szCs w:val="27"/>
        </w:rPr>
        <w:t xml:space="preserve">, </w:t>
      </w:r>
      <w:r w:rsidRPr="00BF3240">
        <w:rPr>
          <w:i/>
          <w:iCs/>
          <w:szCs w:val="27"/>
        </w:rPr>
        <w:t>supra</w:t>
      </w:r>
      <w:r w:rsidRPr="00BF3240">
        <w:rPr>
          <w:szCs w:val="27"/>
        </w:rPr>
        <w:t xml:space="preserve">, 28 Cal.App.5th at p. 511, fn. 13, quoting Pen. Code, § 7.)  But the general principle is not an absolute rule; as Penal Code section 7 itself cautions, “[w]ords and phrases must be construed according to the context.”  (Pen. Code, § 7, subd. (16); see </w:t>
      </w:r>
      <w:r w:rsidRPr="00BF3240">
        <w:rPr>
          <w:i/>
          <w:iCs/>
          <w:szCs w:val="27"/>
        </w:rPr>
        <w:t>People v. Rodriguez</w:t>
      </w:r>
      <w:r w:rsidRPr="00BF3240">
        <w:rPr>
          <w:szCs w:val="27"/>
        </w:rPr>
        <w:t xml:space="preserve"> (2012) 55 Cal.4th 1125, 1133 [the plural does not include the singular where statutory context indicates otherwise].)  And, as particularly relevant here, we have also declined to apply section 7’s general singular-includes-the-plural rule where it would “lead to an interpretation that runs counter to both the legislative purpose of the statutory scheme and subsequent historical practice.”  (</w:t>
      </w:r>
      <w:r w:rsidRPr="00BF3240">
        <w:rPr>
          <w:i/>
          <w:iCs/>
          <w:szCs w:val="27"/>
        </w:rPr>
        <w:t>People v. Navarro</w:t>
      </w:r>
      <w:r w:rsidRPr="00BF3240">
        <w:rPr>
          <w:szCs w:val="27"/>
        </w:rPr>
        <w:t xml:space="preserve"> (2007) 40 Cal.4th 668, 680.)  Similar considerations in this case suggest we ought to read section 739 as it was written, rather than through the lens of section 7.</w:t>
      </w:r>
    </w:p>
    <w:p w14:paraId="1097877B" w14:textId="77777777" w:rsidR="00BF3240" w:rsidRPr="00BF3240" w:rsidRDefault="00BF3240" w:rsidP="00BF3240">
      <w:pPr>
        <w:ind w:firstLine="720"/>
        <w:rPr>
          <w:szCs w:val="27"/>
        </w:rPr>
      </w:pPr>
      <w:r w:rsidRPr="00BF3240">
        <w:rPr>
          <w:szCs w:val="27"/>
        </w:rPr>
        <w:t xml:space="preserve">So read, section 739 describes a linear charging process — where the offenses charged in the information are the same offenses shown by the evidence presented at the preceding preliminary hearing — that matches up with the statute’s </w:t>
      </w:r>
      <w:r w:rsidRPr="00BF3240">
        <w:rPr>
          <w:szCs w:val="27"/>
        </w:rPr>
        <w:lastRenderedPageBreak/>
        <w:t>historical operation.  The predecessor to section 739 was first enacted in 1880.  As originally enacted, Penal Code former section 809 provided:  “When a defendant has been examined and committed, as provided in section eight hundred and seventy-two of this code, it shall be the duty of the district attorney, within thirty days thereafter, to file in the superior court of the county in which the offense is triable an information charging the defendant with such offense.”  Former section 809 necessarily referred to a single “such offense” because, as already noted, from the time former section 809 was enacted in 1880 until 1915, “the accusatory pleading could charge but one offense.”  (</w:t>
      </w:r>
      <w:r w:rsidRPr="00BF3240">
        <w:rPr>
          <w:i/>
          <w:iCs/>
          <w:szCs w:val="27"/>
        </w:rPr>
        <w:t>People v. Tideman</w:t>
      </w:r>
      <w:r w:rsidRPr="00BF3240">
        <w:rPr>
          <w:szCs w:val="27"/>
        </w:rPr>
        <w:t xml:space="preserve">, </w:t>
      </w:r>
      <w:r w:rsidRPr="00BF3240">
        <w:rPr>
          <w:i/>
          <w:iCs/>
          <w:szCs w:val="27"/>
        </w:rPr>
        <w:t>supra</w:t>
      </w:r>
      <w:r w:rsidRPr="00BF3240">
        <w:rPr>
          <w:szCs w:val="27"/>
        </w:rPr>
        <w:t xml:space="preserve">, 57 Cal.2d at p. 579.)  This meant that for the first several decades of former section 809’s existence, there was no doubt that an information was limited to charging the offense that had been the subject of a single preliminary examination and/or commitment order — for the simple reason that the information could not charge any other offense in addition to that offense.  (See </w:t>
      </w:r>
      <w:r w:rsidRPr="00BF3240">
        <w:rPr>
          <w:i/>
          <w:iCs/>
          <w:szCs w:val="27"/>
        </w:rPr>
        <w:t>People v. Vierra</w:t>
      </w:r>
      <w:r w:rsidRPr="00BF3240">
        <w:rPr>
          <w:szCs w:val="27"/>
        </w:rPr>
        <w:t xml:space="preserve"> (1885) 67 Cal. 231, 234 [“[S]ection 809 refers to the offense shown by the testimony disclosed in the depositions taken on the preliminary examination before the committing magistrate”]; </w:t>
      </w:r>
      <w:r w:rsidRPr="00BF3240">
        <w:rPr>
          <w:i/>
          <w:iCs/>
          <w:szCs w:val="27"/>
        </w:rPr>
        <w:t>People v. Nogiri</w:t>
      </w:r>
      <w:r w:rsidRPr="00BF3240">
        <w:rPr>
          <w:szCs w:val="27"/>
        </w:rPr>
        <w:t xml:space="preserve"> (1904) 142 Cal. 596, 598 [power of prosecutor under section 809 limited to filing “an information charging the defendant with the offense for which, after judicial inquiry, he has been held to answer”]; </w:t>
      </w:r>
      <w:r w:rsidRPr="00BF3240">
        <w:rPr>
          <w:i/>
          <w:iCs/>
          <w:szCs w:val="27"/>
        </w:rPr>
        <w:t>People v. Bird</w:t>
      </w:r>
      <w:r w:rsidRPr="00BF3240">
        <w:rPr>
          <w:szCs w:val="27"/>
        </w:rPr>
        <w:t xml:space="preserve"> (1931) 212 Cal. 632, 637 [the “power of the district attorney under section 809 . . . was confined to the filing of an information charging the offense designated in the order of commitment”].)</w:t>
      </w:r>
    </w:p>
    <w:p w14:paraId="20354118" w14:textId="77777777" w:rsidR="00BF3240" w:rsidRPr="00BF3240" w:rsidRDefault="00BF3240" w:rsidP="00BF3240">
      <w:pPr>
        <w:ind w:firstLine="720"/>
        <w:rPr>
          <w:szCs w:val="27"/>
        </w:rPr>
      </w:pPr>
      <w:r w:rsidRPr="00BF3240">
        <w:rPr>
          <w:szCs w:val="27"/>
        </w:rPr>
        <w:t xml:space="preserve">Later, after section 954 was modified to allow for the charging of more than one offense in a single accusatory </w:t>
      </w:r>
      <w:r w:rsidRPr="00BF3240">
        <w:rPr>
          <w:szCs w:val="27"/>
        </w:rPr>
        <w:lastRenderedPageBreak/>
        <w:t xml:space="preserve">pleading (see p. 6, </w:t>
      </w:r>
      <w:r w:rsidRPr="00BF3240">
        <w:rPr>
          <w:i/>
          <w:iCs/>
          <w:szCs w:val="27"/>
        </w:rPr>
        <w:t>ante</w:t>
      </w:r>
      <w:r w:rsidRPr="00BF3240">
        <w:rPr>
          <w:szCs w:val="27"/>
        </w:rPr>
        <w:t xml:space="preserve">), the Legislature would amend Penal Code former section 809 accordingly — allowing an information issued under former section 809 to charge “the offense, </w:t>
      </w:r>
      <w:r w:rsidRPr="00BF3240">
        <w:rPr>
          <w:i/>
          <w:iCs/>
          <w:szCs w:val="27"/>
        </w:rPr>
        <w:t>or offenses</w:t>
      </w:r>
      <w:r w:rsidRPr="00BF3240">
        <w:rPr>
          <w:szCs w:val="27"/>
        </w:rPr>
        <w:t xml:space="preserve">, named in the order of commitment, or any offense, </w:t>
      </w:r>
      <w:r w:rsidRPr="00BF3240">
        <w:rPr>
          <w:i/>
          <w:iCs/>
          <w:szCs w:val="27"/>
        </w:rPr>
        <w:t>or offenses</w:t>
      </w:r>
      <w:r w:rsidRPr="00BF3240">
        <w:rPr>
          <w:szCs w:val="27"/>
        </w:rPr>
        <w:t>, shown by the evidence taken before the magistrate to have been committed.”  (Stats. 1927, ch. 617, § 1, p. 1045, italics added.)</w:t>
      </w:r>
      <w:r w:rsidRPr="00BF3240">
        <w:rPr>
          <w:b/>
          <w:position w:val="6"/>
          <w:sz w:val="20"/>
          <w:szCs w:val="27"/>
        </w:rPr>
        <w:footnoteReference w:id="23"/>
      </w:r>
      <w:r w:rsidRPr="00BF3240">
        <w:rPr>
          <w:szCs w:val="27"/>
        </w:rPr>
        <w:t xml:space="preserve">  But the Legislature did not alter the language of former section 809 in any way that would suggest that it also intended to alter the relationship between the facts presented at the preliminary examination and the charges brought in the ensuing information.</w:t>
      </w:r>
      <w:r w:rsidRPr="00BF3240">
        <w:rPr>
          <w:b/>
          <w:position w:val="6"/>
          <w:sz w:val="20"/>
          <w:szCs w:val="27"/>
        </w:rPr>
        <w:t xml:space="preserve"> </w:t>
      </w:r>
    </w:p>
    <w:p w14:paraId="360EED2B" w14:textId="77777777" w:rsidR="00BF3240" w:rsidRPr="00BF3240" w:rsidRDefault="00BF3240" w:rsidP="00BF3240">
      <w:pPr>
        <w:ind w:firstLine="720"/>
        <w:rPr>
          <w:szCs w:val="27"/>
        </w:rPr>
      </w:pPr>
      <w:r w:rsidRPr="00BF3240">
        <w:rPr>
          <w:szCs w:val="27"/>
        </w:rPr>
        <w:t xml:space="preserve">Of course, nothing in section 739 expressly forbids filing an information that draws from the evidence presented at more than one preliminary hearing.  But section 739’s instructions do, at the very least, presume the information will match the evidence shown at the preliminary hearing on charges filed in a criminal complaint.  And that presumption likewise fits with the other relevant piece of section 954, the consolidation clause — creating a straightforward process for consolidating charges that have, up to that point in time, been the subject of separate pretrial proceedings.  </w:t>
      </w:r>
    </w:p>
    <w:p w14:paraId="75AD4DFB" w14:textId="77777777" w:rsidR="00BF3240" w:rsidRPr="00BF3240" w:rsidRDefault="00BF3240" w:rsidP="00BF3240">
      <w:pPr>
        <w:ind w:firstLine="720"/>
        <w:rPr>
          <w:szCs w:val="27"/>
        </w:rPr>
      </w:pPr>
      <w:r w:rsidRPr="00BF3240">
        <w:rPr>
          <w:szCs w:val="27"/>
        </w:rPr>
        <w:t xml:space="preserve">The majority’s position, by contrast, reads section 954’s joinder clause as effectively creating a hidden mechanism for the de facto consolidation of cases without need for court leave.  </w:t>
      </w:r>
      <w:r w:rsidRPr="00BF3240">
        <w:rPr>
          <w:szCs w:val="27"/>
        </w:rPr>
        <w:lastRenderedPageBreak/>
        <w:t>Henson’s case provides an illustration of how that consolidation works in practice:  Henson was first charged on March 7, 2016, when “a complaint was filed in Fresno County Superior Court” and was assigned “case No. F16901499.”  (</w:t>
      </w:r>
      <w:r w:rsidRPr="00BF3240">
        <w:rPr>
          <w:i/>
          <w:iCs/>
          <w:szCs w:val="27"/>
        </w:rPr>
        <w:t>Henson</w:t>
      </w:r>
      <w:r w:rsidRPr="00BF3240">
        <w:rPr>
          <w:szCs w:val="27"/>
        </w:rPr>
        <w:t xml:space="preserve">, </w:t>
      </w:r>
      <w:r w:rsidRPr="00BF3240">
        <w:rPr>
          <w:i/>
          <w:iCs/>
          <w:szCs w:val="27"/>
        </w:rPr>
        <w:t>supra</w:t>
      </w:r>
      <w:r w:rsidRPr="00BF3240">
        <w:rPr>
          <w:szCs w:val="27"/>
        </w:rPr>
        <w:t>, 28 Cal.App.5th at p. 495.)  The People then commenced a second case against Henson on May 19, 2016, when “a complaint was filed in Fresno County Superior Court” and was assigned “case No. F16903119.”  (</w:t>
      </w:r>
      <w:r w:rsidRPr="00BF3240">
        <w:rPr>
          <w:i/>
          <w:iCs/>
          <w:szCs w:val="27"/>
        </w:rPr>
        <w:t>Id.</w:t>
      </w:r>
      <w:r w:rsidRPr="00BF3240">
        <w:rPr>
          <w:szCs w:val="27"/>
        </w:rPr>
        <w:t xml:space="preserve"> at p. 496.)  When the prosecutor subsequently “attempted to file with the clerk’s office an information bearing both case numbers” the “pleading apparently was rejected, as the file stamp bearing the date of November 29 was crossed out by hand and initialed.”  (</w:t>
      </w:r>
      <w:r w:rsidRPr="00BF3240">
        <w:rPr>
          <w:i/>
          <w:iCs/>
          <w:szCs w:val="27"/>
        </w:rPr>
        <w:t>Ibid.</w:t>
      </w:r>
      <w:r w:rsidRPr="00BF3240">
        <w:rPr>
          <w:szCs w:val="27"/>
        </w:rPr>
        <w:t>)  “On appeal, the People represent that after the clerk’s office rejected the information, the information was presented to the court clerk/judicial assistant in the arraignment department, who wrote ‘CONSOLIDATED’ and accepted and filed the information.”  (</w:t>
      </w:r>
      <w:r w:rsidRPr="00BF3240">
        <w:rPr>
          <w:i/>
          <w:iCs/>
          <w:szCs w:val="27"/>
        </w:rPr>
        <w:t>Id.</w:t>
      </w:r>
      <w:r w:rsidRPr="00BF3240">
        <w:rPr>
          <w:szCs w:val="27"/>
        </w:rPr>
        <w:t xml:space="preserve"> at p. 497, fn. 3.)  The practical result was to take what had been two criminal cases and make them one without a court order.  But the Legislature created a clear mechanism for consolidating previously separate criminal cases:  Section 954’s consolidation clause, which requires a motion.</w:t>
      </w:r>
      <w:r w:rsidRPr="00BF3240">
        <w:rPr>
          <w:b/>
          <w:position w:val="6"/>
          <w:sz w:val="20"/>
          <w:szCs w:val="27"/>
        </w:rPr>
        <w:footnoteReference w:id="24"/>
      </w:r>
      <w:r w:rsidRPr="00BF3240">
        <w:rPr>
          <w:sz w:val="20"/>
          <w:szCs w:val="27"/>
        </w:rPr>
        <w:t xml:space="preserve">  </w:t>
      </w:r>
      <w:r w:rsidRPr="00BF3240">
        <w:rPr>
          <w:szCs w:val="27"/>
        </w:rPr>
        <w:t>The text of section 954 does not mention any other method for consolidating criminal cases, and there is no reason to think the Legislature intended the joinder clause to play that role.</w:t>
      </w:r>
    </w:p>
    <w:p w14:paraId="14957B57" w14:textId="77777777" w:rsidR="00BF3240" w:rsidRPr="00BF3240" w:rsidRDefault="00BF3240" w:rsidP="00BF3240">
      <w:pPr>
        <w:ind w:firstLine="720"/>
        <w:rPr>
          <w:szCs w:val="27"/>
        </w:rPr>
      </w:pPr>
      <w:r w:rsidRPr="00BF3240">
        <w:rPr>
          <w:szCs w:val="27"/>
        </w:rPr>
        <w:t xml:space="preserve">Indeed, some skepticism is warranted on this score, because the de facto consolidation mechanism is a curious one.  </w:t>
      </w:r>
      <w:r w:rsidRPr="00BF3240">
        <w:rPr>
          <w:szCs w:val="27"/>
        </w:rPr>
        <w:lastRenderedPageBreak/>
        <w:t xml:space="preserve">On the majority’s view, the joinder-clause-based consolidation mechanism springs into existence only in cases like this one, where one or more magistrates happen to issue two or more commitment orders within a roughly two-week window.  (See maj. opn., </w:t>
      </w:r>
      <w:r w:rsidRPr="00BF3240">
        <w:rPr>
          <w:i/>
          <w:iCs/>
          <w:szCs w:val="27"/>
        </w:rPr>
        <w:t>ante</w:t>
      </w:r>
      <w:r w:rsidRPr="00BF3240">
        <w:rPr>
          <w:szCs w:val="27"/>
        </w:rPr>
        <w:t xml:space="preserve">, at p. 4.)  As the district attorney acknowledged at oral argument, it is unusual for two preliminary hearings to take place within 15 days of one another; filing a single information on the basis of multiple commitment orders can occur only if the prosecutor is able to “bring the stars into line.”  And the new mechanism inferred by the majority has a remarkably short lifespan. After appearing unexpectedly to surprise the defendant and the court, it then vanishes again after just 15 days — the Cheshire Cat of procedural rules.  I grant it is not impossible to read section 954 this way, but the reading does not seem especially likely.  Why would the Legislature have intended to make the question whether court permission is necessary to consolidate two cases turn on the happenstance of whether two commitment orders issue within 15 days of each other?  Neither the district attorney nor the majority explains. </w:t>
      </w:r>
    </w:p>
    <w:p w14:paraId="45A97479" w14:textId="77777777" w:rsidR="00BF3240" w:rsidRPr="00BF3240" w:rsidRDefault="00BF3240" w:rsidP="00BF3240">
      <w:pPr>
        <w:ind w:firstLine="720"/>
        <w:rPr>
          <w:szCs w:val="27"/>
        </w:rPr>
      </w:pPr>
      <w:r w:rsidRPr="00BF3240">
        <w:rPr>
          <w:szCs w:val="27"/>
        </w:rPr>
        <w:t xml:space="preserve">Historical practice generally confirms that the joinder clause has not been understood in the way the district attorney urges.  (See </w:t>
      </w:r>
      <w:r w:rsidRPr="00BF3240">
        <w:rPr>
          <w:i/>
          <w:iCs/>
          <w:szCs w:val="27"/>
        </w:rPr>
        <w:t>People v. Navarro</w:t>
      </w:r>
      <w:r w:rsidRPr="00BF3240">
        <w:rPr>
          <w:szCs w:val="27"/>
        </w:rPr>
        <w:t xml:space="preserve">, </w:t>
      </w:r>
      <w:r w:rsidRPr="00BF3240">
        <w:rPr>
          <w:i/>
          <w:iCs/>
          <w:szCs w:val="27"/>
        </w:rPr>
        <w:t>supra</w:t>
      </w:r>
      <w:r w:rsidRPr="00BF3240">
        <w:rPr>
          <w:szCs w:val="27"/>
        </w:rPr>
        <w:t xml:space="preserve">, 40 Cal.4th at p. 680.)  Indeed, no party has pointed us to any published case, apart from the decision below, approving the filing practice in which the prosecutor engaged below — not since 1951, when section 954 was last modified; not since 1927, when the statutory forerunner to section 739 assumed essentially its present form; and not since 1915, when section 954 was modified to allow informations to charge multiple offenses.  The majority opinion </w:t>
      </w:r>
      <w:r w:rsidRPr="00BF3240">
        <w:rPr>
          <w:szCs w:val="27"/>
        </w:rPr>
        <w:lastRenderedPageBreak/>
        <w:t>does point to a few unpublished cases briefly mentioning — without much discussion</w:t>
      </w:r>
      <w:r w:rsidRPr="00BF3240">
        <w:rPr>
          <w:rFonts w:ascii="Times New Roman" w:hAnsi="Times New Roman"/>
          <w:sz w:val="26"/>
        </w:rPr>
        <w:t> </w:t>
      </w:r>
      <w:r w:rsidRPr="00BF3240">
        <w:rPr>
          <w:szCs w:val="27"/>
        </w:rPr>
        <w:t xml:space="preserve">— the filing of an information like the one in this case.  But a small handful of unpublished decisions, issued over the course of more than a century, does not suffice to show that the practice has gained any significant acceptance in the superior courts.  (Cf. maj. opn., </w:t>
      </w:r>
      <w:r w:rsidRPr="00BF3240">
        <w:rPr>
          <w:i/>
          <w:iCs/>
          <w:szCs w:val="27"/>
        </w:rPr>
        <w:t>ante</w:t>
      </w:r>
      <w:r w:rsidRPr="00BF3240">
        <w:rPr>
          <w:szCs w:val="27"/>
        </w:rPr>
        <w:t>, at p. 28, fn. 15.)  And again, the history of this very case suggests the opposite:  The district attorney’s joint information caused significant administrative confusion here precisely because the filing was not consistent with generally accepted procedures.</w:t>
      </w:r>
    </w:p>
    <w:p w14:paraId="10E624D2" w14:textId="77777777" w:rsidR="00BF3240" w:rsidRPr="00BF3240" w:rsidRDefault="00BF3240" w:rsidP="00BF3240">
      <w:pPr>
        <w:jc w:val="center"/>
        <w:rPr>
          <w:b/>
          <w:bCs/>
          <w:szCs w:val="27"/>
        </w:rPr>
      </w:pPr>
      <w:r w:rsidRPr="00BF3240">
        <w:rPr>
          <w:b/>
          <w:bCs/>
          <w:szCs w:val="27"/>
        </w:rPr>
        <w:t>B.</w:t>
      </w:r>
    </w:p>
    <w:p w14:paraId="681F3E1D" w14:textId="77777777" w:rsidR="00BF3240" w:rsidRPr="00BF3240" w:rsidRDefault="00BF3240" w:rsidP="00BF3240">
      <w:pPr>
        <w:ind w:firstLine="720"/>
        <w:rPr>
          <w:szCs w:val="27"/>
        </w:rPr>
      </w:pPr>
      <w:r w:rsidRPr="00BF3240">
        <w:rPr>
          <w:szCs w:val="27"/>
        </w:rPr>
        <w:t>In approving the joint information in this case, the majority expresses concern that district attorneys have sufficient latitude to join related charges at the inception of a felony proceeding.  The majority marks that inception point as the filing of the information because it is the first step of the prosecution that by law must be handled by district attorneys, and only district attorneys, and the first step that takes place in superior court, by law acting as the superior court.</w:t>
      </w:r>
    </w:p>
    <w:p w14:paraId="119ED6B9" w14:textId="77777777" w:rsidR="00BF3240" w:rsidRPr="00BF3240" w:rsidRDefault="00BF3240" w:rsidP="00BF3240">
      <w:pPr>
        <w:ind w:firstLine="720"/>
        <w:rPr>
          <w:szCs w:val="27"/>
        </w:rPr>
      </w:pPr>
      <w:r w:rsidRPr="00BF3240">
        <w:rPr>
          <w:szCs w:val="27"/>
        </w:rPr>
        <w:t xml:space="preserve">As a technical matter, the majority’s view of when a felony proceeding begins is plausible, if not unassailable.  (Cf. </w:t>
      </w:r>
      <w:r w:rsidRPr="00BF3240">
        <w:rPr>
          <w:i/>
          <w:iCs/>
          <w:szCs w:val="27"/>
        </w:rPr>
        <w:t>In re Harris</w:t>
      </w:r>
      <w:r w:rsidRPr="00BF3240">
        <w:rPr>
          <w:szCs w:val="27"/>
        </w:rPr>
        <w:t xml:space="preserve">, </w:t>
      </w:r>
      <w:r w:rsidRPr="00BF3240">
        <w:rPr>
          <w:i/>
          <w:iCs/>
          <w:szCs w:val="27"/>
        </w:rPr>
        <w:t>supra</w:t>
      </w:r>
      <w:r w:rsidRPr="00BF3240">
        <w:rPr>
          <w:szCs w:val="27"/>
        </w:rPr>
        <w:t xml:space="preserve">, 49 Cal.3d at p. 137 [“the general rule” is that “it is the complaint that initiates felony proceedings”]; </w:t>
      </w:r>
      <w:r w:rsidRPr="00BF3240">
        <w:rPr>
          <w:i/>
          <w:iCs/>
          <w:szCs w:val="27"/>
        </w:rPr>
        <w:t>Lempert v. Superior Court</w:t>
      </w:r>
      <w:r w:rsidRPr="00BF3240">
        <w:rPr>
          <w:szCs w:val="27"/>
        </w:rPr>
        <w:t xml:space="preserve">, </w:t>
      </w:r>
      <w:r w:rsidRPr="00BF3240">
        <w:rPr>
          <w:i/>
          <w:iCs/>
          <w:szCs w:val="27"/>
        </w:rPr>
        <w:t>supra</w:t>
      </w:r>
      <w:r w:rsidRPr="00BF3240">
        <w:rPr>
          <w:szCs w:val="27"/>
        </w:rPr>
        <w:t xml:space="preserve">, 112 Cal.App.4th at p. 1168 [“the prosecution commences with the filing of the felony complaint”]; </w:t>
      </w:r>
      <w:r w:rsidRPr="00BF3240">
        <w:rPr>
          <w:i/>
          <w:iCs/>
          <w:szCs w:val="27"/>
        </w:rPr>
        <w:t>People v. Dominguez</w:t>
      </w:r>
      <w:r w:rsidRPr="00BF3240">
        <w:rPr>
          <w:szCs w:val="27"/>
        </w:rPr>
        <w:t xml:space="preserve"> (2008) 166 Cal.App.4th 858, 865 [“Prior to the unification of the trial courts, felony proceedings commenced in the municipal court with the filing of a complaint”]; </w:t>
      </w:r>
      <w:r w:rsidRPr="00BF3240">
        <w:rPr>
          <w:i/>
          <w:iCs/>
          <w:szCs w:val="27"/>
        </w:rPr>
        <w:t>People v. Maldonado</w:t>
      </w:r>
      <w:r w:rsidRPr="00BF3240">
        <w:rPr>
          <w:szCs w:val="27"/>
        </w:rPr>
        <w:t xml:space="preserve">, </w:t>
      </w:r>
      <w:r w:rsidRPr="00BF3240">
        <w:rPr>
          <w:i/>
          <w:iCs/>
          <w:szCs w:val="27"/>
        </w:rPr>
        <w:t>supra</w:t>
      </w:r>
      <w:r w:rsidRPr="00BF3240">
        <w:rPr>
          <w:szCs w:val="27"/>
        </w:rPr>
        <w:t xml:space="preserve">, 172 Cal.App.4th at p. 94 [same]; </w:t>
      </w:r>
      <w:r w:rsidRPr="00BF3240">
        <w:rPr>
          <w:i/>
          <w:iCs/>
          <w:szCs w:val="27"/>
        </w:rPr>
        <w:t>Le Louis v. Superior Court</w:t>
      </w:r>
      <w:r w:rsidRPr="00BF3240">
        <w:rPr>
          <w:szCs w:val="27"/>
        </w:rPr>
        <w:t xml:space="preserve"> (1989) 209 Cal.App.3d 669, 679, 683 [“a </w:t>
      </w:r>
      <w:r w:rsidRPr="00BF3240">
        <w:rPr>
          <w:szCs w:val="27"/>
        </w:rPr>
        <w:lastRenderedPageBreak/>
        <w:t>preliminary examination can only be properly conceived as a component proceeding of the criminal action which commences with the filing of a complaint and can continue through superior court proceedings, including trial, resulting in judgment,” meaning that “[p]etitioner’s preliminary examination,” for which “two separate complaints were consolidated,” occurred “at an earlier stage of the same prosecution which remains pending against him in superior court”]; Pen. Code, § 859 [referring to person “charged with the commission of a felony by a written complaint” as the “defendant”].)</w:t>
      </w:r>
      <w:r w:rsidRPr="00BF3240">
        <w:rPr>
          <w:b/>
          <w:position w:val="6"/>
          <w:sz w:val="20"/>
          <w:szCs w:val="27"/>
        </w:rPr>
        <w:footnoteReference w:id="25"/>
      </w:r>
      <w:r w:rsidRPr="00BF3240">
        <w:rPr>
          <w:szCs w:val="27"/>
        </w:rPr>
        <w:t xml:space="preserve">   </w:t>
      </w:r>
    </w:p>
    <w:p w14:paraId="15A0382C" w14:textId="77777777" w:rsidR="00BF3240" w:rsidRPr="00BF3240" w:rsidRDefault="00BF3240" w:rsidP="00BF3240">
      <w:pPr>
        <w:ind w:firstLine="720"/>
        <w:rPr>
          <w:szCs w:val="27"/>
        </w:rPr>
      </w:pPr>
      <w:r w:rsidRPr="00BF3240">
        <w:rPr>
          <w:szCs w:val="27"/>
        </w:rPr>
        <w:lastRenderedPageBreak/>
        <w:t>But it is unclear why this technical characterization should make a substantive difference in how we view the procedures for combining offenses subject to different “magistrate cases,” as the majority calls them, in a single information.</w:t>
      </w:r>
      <w:r w:rsidRPr="00BF3240">
        <w:rPr>
          <w:b/>
          <w:position w:val="6"/>
          <w:sz w:val="20"/>
        </w:rPr>
        <w:footnoteReference w:id="26"/>
      </w:r>
      <w:r w:rsidRPr="00BF3240">
        <w:rPr>
          <w:szCs w:val="27"/>
        </w:rPr>
        <w:t xml:space="preserve">  The majority’s primary response is historical:  it points out that before 1972, felony complaints (unlike felony informations) could be filed directly by private citizens and did not have to be signed by the district attorney.  The majority reasons that “[i]f multiple crime victims filed multiple felony complaints alleging related offenses, the district attorney’s only opportunity to exercise his or her express right to join those offenses was when filing the information.”  (Maj. opn., </w:t>
      </w:r>
      <w:r w:rsidRPr="00BF3240">
        <w:rPr>
          <w:i/>
          <w:iCs/>
          <w:szCs w:val="27"/>
        </w:rPr>
        <w:t>ante</w:t>
      </w:r>
      <w:r w:rsidRPr="00BF3240">
        <w:rPr>
          <w:szCs w:val="27"/>
        </w:rPr>
        <w:t xml:space="preserve">, at p. 22.) </w:t>
      </w:r>
    </w:p>
    <w:p w14:paraId="3E97B5F8" w14:textId="77777777" w:rsidR="00BF3240" w:rsidRPr="00BF3240" w:rsidRDefault="00BF3240" w:rsidP="00BF3240">
      <w:pPr>
        <w:ind w:firstLine="720"/>
        <w:rPr>
          <w:szCs w:val="27"/>
        </w:rPr>
      </w:pPr>
      <w:r w:rsidRPr="00BF3240">
        <w:rPr>
          <w:szCs w:val="27"/>
        </w:rPr>
        <w:t>To the extent the majority is raising a historical concern about the purpose the joinder clause would have served in a pre-1972 case initiated by the filing of citizen complaints, the concern is unfounded.  Under the old, pre-1915 rule, each felony information could only have charged one</w:t>
      </w:r>
      <w:r w:rsidRPr="00BF3240">
        <w:rPr>
          <w:i/>
          <w:iCs/>
          <w:szCs w:val="27"/>
        </w:rPr>
        <w:t xml:space="preserve"> </w:t>
      </w:r>
      <w:r w:rsidRPr="00BF3240">
        <w:rPr>
          <w:szCs w:val="27"/>
        </w:rPr>
        <w:t xml:space="preserve">offense, no matter how many offenses the complaint alleged or the evidence at the preliminary hearing showed.  The 1915 enactment of the joinder clause served the basic purpose of enabling the district attorney to file more than one charge in the information, based on the </w:t>
      </w:r>
      <w:r w:rsidRPr="00BF3240">
        <w:rPr>
          <w:szCs w:val="27"/>
        </w:rPr>
        <w:lastRenderedPageBreak/>
        <w:t>offenses listed in each citizen’s complaint or shown by the evidence at the preliminary hearing.  The district attorney could then move the court for consolidation of the pleadings before trial.</w:t>
      </w:r>
    </w:p>
    <w:p w14:paraId="5D2CB798" w14:textId="77777777" w:rsidR="00BF3240" w:rsidRPr="00BF3240" w:rsidRDefault="00BF3240" w:rsidP="00BF3240">
      <w:pPr>
        <w:ind w:firstLine="720"/>
        <w:rPr>
          <w:szCs w:val="27"/>
        </w:rPr>
      </w:pPr>
      <w:r w:rsidRPr="00BF3240">
        <w:rPr>
          <w:szCs w:val="27"/>
        </w:rPr>
        <w:t>To the extent the majority’s concern is instead simply that the prosecutor must have sufficient opportunity to combine related offenses for purposes of trial, the concern is misplaced.  To read the relevant statutes as preserving the regular procedure in all cases does not mean the prosecutor cannot combine related offenses; it simply requires that the prosecution seek the court’s permission first.</w:t>
      </w:r>
    </w:p>
    <w:p w14:paraId="178C2D85" w14:textId="77777777" w:rsidR="00BF3240" w:rsidRPr="00BF3240" w:rsidRDefault="00BF3240" w:rsidP="00BF3240">
      <w:pPr>
        <w:ind w:firstLine="720"/>
        <w:rPr>
          <w:szCs w:val="27"/>
        </w:rPr>
      </w:pPr>
      <w:r w:rsidRPr="00BF3240">
        <w:rPr>
          <w:szCs w:val="27"/>
        </w:rPr>
        <w:t xml:space="preserve">Adhering to regular procedure for consolidating cases makes practical sense.  It keeps the burden to move for consolidation of charges where it normally falls — on the prosecution — rather than shifting the burden to the defendant to seek severance of charges where a joint trial threatens significant prejudice to the defendant’s interests.  Adhering to regular procedure also helps to avoid some of the types of administrative difficulties that emerged in this case as a result of the district attorney’s unusual filing, including the disqualification of defense counsel without prior notice to the defendant or the court and continued delay while the defendant remained in custody.  And adhering to regular procedure respects the superior courts’ ordinary case management practices.  Ordinarily, case dockets are managed, tracked, and consolidated pursuant to the regular administrative processes of the superior courts.  But “under the majority’s holding, [courts] will now be required to merge the relevant case dockets under a lead case self-designated by the People, something that </w:t>
      </w:r>
      <w:r w:rsidRPr="00BF3240">
        <w:rPr>
          <w:szCs w:val="27"/>
        </w:rPr>
        <w:lastRenderedPageBreak/>
        <w:t>heretofore occurred only pursuant to court order.”  (</w:t>
      </w:r>
      <w:r w:rsidRPr="00BF3240">
        <w:rPr>
          <w:i/>
          <w:iCs/>
          <w:szCs w:val="27"/>
        </w:rPr>
        <w:t>Henson</w:t>
      </w:r>
      <w:r w:rsidRPr="00BF3240">
        <w:rPr>
          <w:szCs w:val="27"/>
        </w:rPr>
        <w:t xml:space="preserve">, </w:t>
      </w:r>
      <w:r w:rsidRPr="00BF3240">
        <w:rPr>
          <w:i/>
          <w:iCs/>
          <w:szCs w:val="27"/>
        </w:rPr>
        <w:t>supra</w:t>
      </w:r>
      <w:r w:rsidRPr="00BF3240">
        <w:rPr>
          <w:szCs w:val="27"/>
        </w:rPr>
        <w:t>, 28 Cal.App.5th at p. 533 (dis. opn. of Smith, J.).)</w:t>
      </w:r>
    </w:p>
    <w:p w14:paraId="77BAFEFC" w14:textId="77777777" w:rsidR="00BF3240" w:rsidRPr="00BF3240" w:rsidRDefault="00BF3240" w:rsidP="00BF3240">
      <w:pPr>
        <w:ind w:firstLine="720"/>
        <w:rPr>
          <w:szCs w:val="27"/>
        </w:rPr>
      </w:pPr>
      <w:r w:rsidRPr="00BF3240">
        <w:rPr>
          <w:szCs w:val="27"/>
        </w:rPr>
        <w:t xml:space="preserve">It is certainly true, as the majority says, that the superior courts can adopt new administrative rules for the rare circumstance in which prosecutors file informations like this one.  (See maj. opn., </w:t>
      </w:r>
      <w:r w:rsidRPr="00BF3240">
        <w:rPr>
          <w:i/>
          <w:iCs/>
          <w:szCs w:val="27"/>
        </w:rPr>
        <w:t>ante</w:t>
      </w:r>
      <w:r w:rsidRPr="00BF3240">
        <w:rPr>
          <w:szCs w:val="27"/>
        </w:rPr>
        <w:t>, at pp. 35–36.)  Such rules may well help ameliorate the disruption caused by disappearing case numbers, criminal cases effectively consolidated without a consolidation motion, and defense attorneys on previously separate cases suddenly finding themselves working on the same, now-unified case.  On the whole, however, I am not persuaded that the law requires the superior courts to face these problems — not even in the rare situation when the stars align to allow for two preliminary examinations and commitment orders in a single 15-day period.</w:t>
      </w:r>
    </w:p>
    <w:p w14:paraId="5BD5082D" w14:textId="77777777" w:rsidR="00BF3240" w:rsidRPr="00BF3240" w:rsidRDefault="00BF3240" w:rsidP="00BF3240">
      <w:pPr>
        <w:ind w:firstLine="720"/>
        <w:rPr>
          <w:szCs w:val="27"/>
        </w:rPr>
      </w:pPr>
      <w:r w:rsidRPr="00BF3240">
        <w:rPr>
          <w:szCs w:val="27"/>
        </w:rPr>
        <w:t>There is a simpler, more straightforward answer possible here.  Felony informations may indeed charge multiple offenses, as provided by section 954.  But they may charge only those offenses contained in a single commitment order or shown by the evidence at a single preliminary hearing, as provided by section 739.  The district attorney is not without recourse:  after the information is filed in a particular case, the court may, upon the request of the district attorney and after conducting the requisite inquiry, “order the consolidation of that case with another case, or other cases, in the same posture” — as courts regularly do.  (</w:t>
      </w:r>
      <w:r w:rsidRPr="00BF3240">
        <w:rPr>
          <w:i/>
          <w:iCs/>
          <w:szCs w:val="27"/>
        </w:rPr>
        <w:t>Henson</w:t>
      </w:r>
      <w:r w:rsidRPr="00BF3240">
        <w:rPr>
          <w:szCs w:val="27"/>
        </w:rPr>
        <w:t xml:space="preserve">, </w:t>
      </w:r>
      <w:r w:rsidRPr="00BF3240">
        <w:rPr>
          <w:i/>
          <w:iCs/>
          <w:szCs w:val="27"/>
        </w:rPr>
        <w:t>supra</w:t>
      </w:r>
      <w:r w:rsidRPr="00BF3240">
        <w:rPr>
          <w:szCs w:val="27"/>
        </w:rPr>
        <w:t>, 28 Cal.App.5th at p. 527 (dis. opn. of Smith, J.).)  The critical point is that consolidation is a matter for the court to decide after full consideration of a filed motion, not for the district attorney to decide unilaterally.</w:t>
      </w:r>
    </w:p>
    <w:p w14:paraId="16A77F4A" w14:textId="77777777" w:rsidR="00BF3240" w:rsidRPr="00BF3240" w:rsidRDefault="00BF3240" w:rsidP="00BF3240">
      <w:pPr>
        <w:ind w:firstLine="720"/>
        <w:rPr>
          <w:szCs w:val="27"/>
        </w:rPr>
      </w:pPr>
      <w:r w:rsidRPr="00BF3240">
        <w:rPr>
          <w:szCs w:val="27"/>
        </w:rPr>
        <w:lastRenderedPageBreak/>
        <w:t>Taken as a whole, this long-standing set of procedures provides a simple, streamlined, and well-understood framework for felony charging.  I see no reason to deviate from those procedures here.  And so, with respect, I dissent from the majority’s approval of the unusual filing in this case.</w:t>
      </w:r>
      <w:r w:rsidRPr="00BF3240">
        <w:rPr>
          <w:b/>
          <w:position w:val="6"/>
          <w:sz w:val="20"/>
        </w:rPr>
        <w:footnoteReference w:id="27"/>
      </w:r>
    </w:p>
    <w:p w14:paraId="32CB04AA" w14:textId="77777777" w:rsidR="00BF3240" w:rsidRPr="00BF3240" w:rsidRDefault="00BF3240" w:rsidP="00BF3240">
      <w:pPr>
        <w:ind w:firstLine="720"/>
        <w:rPr>
          <w:szCs w:val="27"/>
        </w:rPr>
      </w:pPr>
    </w:p>
    <w:p w14:paraId="317EABE0" w14:textId="77777777" w:rsidR="00BF3240" w:rsidRPr="00BF3240" w:rsidRDefault="00BF3240" w:rsidP="00BF3240">
      <w:pPr>
        <w:rPr>
          <w:b/>
          <w:szCs w:val="27"/>
        </w:rPr>
      </w:pPr>
      <w:r w:rsidRPr="00BF3240">
        <w:rPr>
          <w:szCs w:val="27"/>
        </w:rPr>
        <w:tab/>
      </w:r>
      <w:r w:rsidRPr="00BF3240">
        <w:rPr>
          <w:szCs w:val="27"/>
        </w:rPr>
        <w:tab/>
      </w:r>
      <w:r w:rsidRPr="00BF3240">
        <w:rPr>
          <w:szCs w:val="27"/>
        </w:rPr>
        <w:tab/>
      </w:r>
      <w:r w:rsidRPr="00BF3240">
        <w:rPr>
          <w:szCs w:val="27"/>
        </w:rPr>
        <w:tab/>
      </w:r>
      <w:r w:rsidRPr="00BF3240">
        <w:rPr>
          <w:szCs w:val="27"/>
        </w:rPr>
        <w:tab/>
      </w:r>
      <w:r w:rsidRPr="00BF3240">
        <w:rPr>
          <w:szCs w:val="27"/>
        </w:rPr>
        <w:tab/>
      </w:r>
      <w:r w:rsidRPr="00BF3240">
        <w:rPr>
          <w:szCs w:val="27"/>
        </w:rPr>
        <w:tab/>
        <w:t xml:space="preserve">             </w:t>
      </w:r>
      <w:r w:rsidRPr="00BF3240">
        <w:rPr>
          <w:b/>
          <w:szCs w:val="27"/>
        </w:rPr>
        <w:t>KRUGER, J.</w:t>
      </w:r>
    </w:p>
    <w:p w14:paraId="63947A1A" w14:textId="77777777" w:rsidR="00BF3240" w:rsidRPr="00BF3240" w:rsidRDefault="00BF3240" w:rsidP="00BF3240">
      <w:pPr>
        <w:rPr>
          <w:b/>
          <w:szCs w:val="27"/>
        </w:rPr>
      </w:pPr>
    </w:p>
    <w:p w14:paraId="521D2D75" w14:textId="77777777" w:rsidR="00BF3240" w:rsidRPr="00BF3240" w:rsidRDefault="00BF3240" w:rsidP="00BF3240">
      <w:pPr>
        <w:rPr>
          <w:b/>
          <w:szCs w:val="27"/>
        </w:rPr>
      </w:pPr>
      <w:r w:rsidRPr="00BF3240">
        <w:rPr>
          <w:b/>
          <w:szCs w:val="27"/>
        </w:rPr>
        <w:t>We Concur:</w:t>
      </w:r>
    </w:p>
    <w:p w14:paraId="4465BE91" w14:textId="77777777" w:rsidR="00BF3240" w:rsidRPr="00BF3240" w:rsidRDefault="00BF3240" w:rsidP="00BF3240">
      <w:pPr>
        <w:spacing w:after="0" w:line="240" w:lineRule="auto"/>
        <w:rPr>
          <w:b/>
          <w:szCs w:val="27"/>
        </w:rPr>
      </w:pPr>
      <w:r w:rsidRPr="00BF3240">
        <w:rPr>
          <w:b/>
          <w:szCs w:val="27"/>
        </w:rPr>
        <w:t>LIU, J.</w:t>
      </w:r>
    </w:p>
    <w:p w14:paraId="0E4C8B15" w14:textId="77777777" w:rsidR="00BF3240" w:rsidRPr="00BF3240" w:rsidRDefault="00BF3240" w:rsidP="00BF3240">
      <w:pPr>
        <w:spacing w:after="0" w:line="240" w:lineRule="auto"/>
        <w:rPr>
          <w:b/>
          <w:szCs w:val="27"/>
        </w:rPr>
      </w:pPr>
      <w:r w:rsidRPr="00BF3240">
        <w:rPr>
          <w:b/>
          <w:szCs w:val="27"/>
        </w:rPr>
        <w:t>GROBAN, J.</w:t>
      </w:r>
    </w:p>
    <w:p w14:paraId="29806645" w14:textId="77777777" w:rsidR="00BF3240" w:rsidRPr="00BF3240" w:rsidRDefault="00BF3240" w:rsidP="00BF3240">
      <w:pPr>
        <w:spacing w:after="0" w:line="240" w:lineRule="auto"/>
        <w:jc w:val="left"/>
        <w:rPr>
          <w:rFonts w:ascii="Times New Roman" w:hAnsi="Times New Roman"/>
          <w:b/>
          <w:sz w:val="26"/>
        </w:rPr>
      </w:pPr>
      <w:bookmarkStart w:id="19" w:name="plaintiff"/>
      <w:bookmarkStart w:id="20" w:name="plaintiff2"/>
      <w:bookmarkStart w:id="21" w:name="caseno2"/>
      <w:bookmarkEnd w:id="19"/>
      <w:bookmarkEnd w:id="20"/>
      <w:bookmarkEnd w:id="21"/>
    </w:p>
    <w:p w14:paraId="1FF0BBD7" w14:textId="77777777" w:rsidR="00FD3C7E" w:rsidRDefault="00FD3C7E" w:rsidP="0047127A">
      <w:pPr>
        <w:tabs>
          <w:tab w:val="left" w:pos="1440"/>
        </w:tabs>
        <w:rPr>
          <w:strike/>
        </w:rPr>
        <w:sectPr w:rsidR="00FD3C7E" w:rsidSect="0047127A">
          <w:headerReference w:type="default" r:id="rId10"/>
          <w:footnotePr>
            <w:numRestart w:val="eachSect"/>
          </w:footnotePr>
          <w:pgSz w:w="12240" w:h="15840"/>
          <w:pgMar w:top="1800" w:right="2160" w:bottom="1440" w:left="2160" w:header="720" w:footer="720" w:gutter="0"/>
          <w:pgNumType w:start="1"/>
          <w:cols w:space="720"/>
          <w:titlePg/>
          <w:docGrid w:linePitch="367"/>
        </w:sectPr>
      </w:pPr>
    </w:p>
    <w:p w14:paraId="1DF683CA" w14:textId="77777777" w:rsidR="0073088A" w:rsidRPr="0073088A" w:rsidRDefault="0073088A" w:rsidP="0073088A">
      <w:pPr>
        <w:spacing w:after="0" w:line="240" w:lineRule="auto"/>
        <w:jc w:val="left"/>
        <w:rPr>
          <w:i/>
          <w:sz w:val="24"/>
          <w:szCs w:val="24"/>
        </w:rPr>
      </w:pPr>
      <w:bookmarkStart w:id="22" w:name="_Hlk105508284"/>
      <w:r w:rsidRPr="0073088A">
        <w:rPr>
          <w:i/>
          <w:sz w:val="24"/>
          <w:szCs w:val="24"/>
        </w:rPr>
        <w:lastRenderedPageBreak/>
        <w:t>See next page for addresses and telephone numbers for counsel who argued in Supreme Court.</w:t>
      </w:r>
    </w:p>
    <w:p w14:paraId="152AA8E3" w14:textId="77777777" w:rsidR="0073088A" w:rsidRPr="0073088A" w:rsidRDefault="0073088A" w:rsidP="0073088A">
      <w:pPr>
        <w:spacing w:after="0" w:line="240" w:lineRule="auto"/>
        <w:jc w:val="left"/>
        <w:rPr>
          <w:i/>
          <w:sz w:val="24"/>
          <w:szCs w:val="24"/>
        </w:rPr>
      </w:pPr>
    </w:p>
    <w:p w14:paraId="209DD167" w14:textId="77777777" w:rsidR="0073088A" w:rsidRPr="0073088A" w:rsidRDefault="0073088A" w:rsidP="0073088A">
      <w:pPr>
        <w:spacing w:after="0" w:line="240" w:lineRule="auto"/>
        <w:jc w:val="left"/>
        <w:rPr>
          <w:b/>
          <w:sz w:val="24"/>
          <w:szCs w:val="24"/>
        </w:rPr>
      </w:pPr>
      <w:r w:rsidRPr="0073088A">
        <w:rPr>
          <w:b/>
          <w:sz w:val="24"/>
          <w:szCs w:val="24"/>
        </w:rPr>
        <w:t xml:space="preserve">Name of Opinion </w:t>
      </w:r>
      <w:r w:rsidRPr="0073088A">
        <w:rPr>
          <w:bCs/>
          <w:sz w:val="24"/>
          <w:szCs w:val="24"/>
        </w:rPr>
        <w:t xml:space="preserve"> People v. Henson </w:t>
      </w:r>
      <w:r w:rsidRPr="0073088A">
        <w:rPr>
          <w:b/>
          <w:sz w:val="24"/>
          <w:szCs w:val="24"/>
        </w:rPr>
        <w:t xml:space="preserve">__________________________________________________________ </w:t>
      </w:r>
    </w:p>
    <w:p w14:paraId="61771417" w14:textId="77777777" w:rsidR="0073088A" w:rsidRPr="0073088A" w:rsidRDefault="0073088A" w:rsidP="0073088A">
      <w:pPr>
        <w:spacing w:after="0" w:line="240" w:lineRule="auto"/>
        <w:jc w:val="left"/>
        <w:rPr>
          <w:b/>
          <w:sz w:val="24"/>
          <w:szCs w:val="24"/>
        </w:rPr>
      </w:pPr>
    </w:p>
    <w:p w14:paraId="304A8E9F" w14:textId="77777777" w:rsidR="0073088A" w:rsidRPr="0073088A" w:rsidRDefault="0073088A" w:rsidP="0073088A">
      <w:pPr>
        <w:spacing w:after="0" w:line="240" w:lineRule="auto"/>
        <w:jc w:val="left"/>
        <w:rPr>
          <w:sz w:val="24"/>
          <w:szCs w:val="24"/>
        </w:rPr>
      </w:pPr>
      <w:r w:rsidRPr="0073088A">
        <w:rPr>
          <w:b/>
          <w:bCs/>
          <w:sz w:val="24"/>
          <w:szCs w:val="24"/>
          <w:u w:val="single"/>
        </w:rPr>
        <w:t>Procedural Posture</w:t>
      </w:r>
      <w:r w:rsidRPr="0073088A">
        <w:rPr>
          <w:b/>
          <w:bCs/>
          <w:sz w:val="24"/>
          <w:szCs w:val="24"/>
        </w:rPr>
        <w:t xml:space="preserve"> </w:t>
      </w:r>
      <w:r w:rsidRPr="0073088A">
        <w:rPr>
          <w:sz w:val="24"/>
          <w:szCs w:val="24"/>
        </w:rPr>
        <w:t>(see XX below)</w:t>
      </w:r>
    </w:p>
    <w:p w14:paraId="374E428D" w14:textId="77777777" w:rsidR="0073088A" w:rsidRPr="0073088A" w:rsidRDefault="0073088A" w:rsidP="0073088A">
      <w:pPr>
        <w:spacing w:after="0" w:line="240" w:lineRule="auto"/>
        <w:jc w:val="left"/>
        <w:rPr>
          <w:sz w:val="24"/>
          <w:szCs w:val="24"/>
        </w:rPr>
      </w:pPr>
      <w:r w:rsidRPr="0073088A">
        <w:rPr>
          <w:b/>
          <w:bCs/>
          <w:sz w:val="24"/>
          <w:szCs w:val="24"/>
        </w:rPr>
        <w:t>Original Appeal</w:t>
      </w:r>
      <w:r w:rsidRPr="0073088A">
        <w:rPr>
          <w:sz w:val="24"/>
          <w:szCs w:val="24"/>
        </w:rPr>
        <w:t xml:space="preserve"> </w:t>
      </w:r>
    </w:p>
    <w:p w14:paraId="505BFE6D" w14:textId="77777777" w:rsidR="0073088A" w:rsidRPr="0073088A" w:rsidRDefault="0073088A" w:rsidP="0073088A">
      <w:pPr>
        <w:spacing w:after="0" w:line="240" w:lineRule="auto"/>
        <w:jc w:val="left"/>
        <w:rPr>
          <w:b/>
          <w:bCs/>
          <w:sz w:val="24"/>
          <w:szCs w:val="24"/>
        </w:rPr>
      </w:pPr>
      <w:r w:rsidRPr="0073088A">
        <w:rPr>
          <w:b/>
          <w:bCs/>
          <w:sz w:val="24"/>
          <w:szCs w:val="24"/>
        </w:rPr>
        <w:t>Original Proceeding</w:t>
      </w:r>
    </w:p>
    <w:p w14:paraId="743C8851" w14:textId="77777777" w:rsidR="0073088A" w:rsidRPr="0073088A" w:rsidRDefault="0073088A" w:rsidP="0073088A">
      <w:pPr>
        <w:spacing w:after="0" w:line="240" w:lineRule="auto"/>
        <w:jc w:val="left"/>
        <w:rPr>
          <w:sz w:val="24"/>
          <w:szCs w:val="24"/>
        </w:rPr>
      </w:pPr>
      <w:r w:rsidRPr="0073088A">
        <w:rPr>
          <w:b/>
          <w:bCs/>
          <w:sz w:val="24"/>
          <w:szCs w:val="24"/>
        </w:rPr>
        <w:t>Review Granted</w:t>
      </w:r>
      <w:r w:rsidRPr="0073088A">
        <w:rPr>
          <w:sz w:val="24"/>
          <w:szCs w:val="24"/>
        </w:rPr>
        <w:t xml:space="preserve"> </w:t>
      </w:r>
      <w:r w:rsidRPr="0073088A">
        <w:rPr>
          <w:b/>
          <w:bCs/>
          <w:sz w:val="24"/>
          <w:szCs w:val="24"/>
        </w:rPr>
        <w:t xml:space="preserve">(published) </w:t>
      </w:r>
      <w:r w:rsidRPr="0073088A">
        <w:rPr>
          <w:sz w:val="24"/>
          <w:szCs w:val="24"/>
        </w:rPr>
        <w:t>XX 28 Cal.App.5th 490</w:t>
      </w:r>
    </w:p>
    <w:p w14:paraId="51467AC5" w14:textId="77777777" w:rsidR="0073088A" w:rsidRPr="0073088A" w:rsidRDefault="0073088A" w:rsidP="0073088A">
      <w:pPr>
        <w:spacing w:after="0" w:line="240" w:lineRule="auto"/>
        <w:jc w:val="left"/>
        <w:rPr>
          <w:sz w:val="24"/>
          <w:szCs w:val="24"/>
        </w:rPr>
      </w:pPr>
      <w:r w:rsidRPr="0073088A">
        <w:rPr>
          <w:b/>
          <w:bCs/>
          <w:sz w:val="24"/>
          <w:szCs w:val="24"/>
        </w:rPr>
        <w:t xml:space="preserve">Review Granted (unpublished) </w:t>
      </w:r>
    </w:p>
    <w:p w14:paraId="17E0AE69" w14:textId="77777777" w:rsidR="0073088A" w:rsidRPr="0073088A" w:rsidRDefault="0073088A" w:rsidP="0073088A">
      <w:pPr>
        <w:spacing w:after="0" w:line="240" w:lineRule="auto"/>
        <w:jc w:val="left"/>
        <w:rPr>
          <w:b/>
          <w:bCs/>
          <w:sz w:val="24"/>
          <w:szCs w:val="24"/>
        </w:rPr>
      </w:pPr>
      <w:r w:rsidRPr="0073088A">
        <w:rPr>
          <w:b/>
          <w:bCs/>
          <w:sz w:val="24"/>
          <w:szCs w:val="24"/>
        </w:rPr>
        <w:t>Rehearing Granted</w:t>
      </w:r>
    </w:p>
    <w:p w14:paraId="218FB9A1" w14:textId="77777777" w:rsidR="0073088A" w:rsidRPr="0073088A" w:rsidRDefault="0073088A" w:rsidP="0073088A">
      <w:pPr>
        <w:spacing w:after="0" w:line="240" w:lineRule="auto"/>
        <w:jc w:val="left"/>
        <w:rPr>
          <w:b/>
          <w:sz w:val="24"/>
          <w:szCs w:val="24"/>
        </w:rPr>
      </w:pPr>
      <w:r w:rsidRPr="0073088A">
        <w:rPr>
          <w:b/>
          <w:sz w:val="24"/>
          <w:szCs w:val="24"/>
        </w:rPr>
        <w:t xml:space="preserve">__________________________________________________________ </w:t>
      </w:r>
    </w:p>
    <w:p w14:paraId="21D113E8" w14:textId="77777777" w:rsidR="0073088A" w:rsidRPr="0073088A" w:rsidRDefault="0073088A" w:rsidP="0073088A">
      <w:pPr>
        <w:spacing w:after="0" w:line="240" w:lineRule="auto"/>
        <w:jc w:val="left"/>
        <w:rPr>
          <w:b/>
          <w:sz w:val="24"/>
          <w:szCs w:val="24"/>
        </w:rPr>
      </w:pPr>
    </w:p>
    <w:p w14:paraId="6CF56A85" w14:textId="77777777" w:rsidR="0073088A" w:rsidRPr="0073088A" w:rsidRDefault="0073088A" w:rsidP="0073088A">
      <w:pPr>
        <w:spacing w:after="0" w:line="240" w:lineRule="auto"/>
        <w:jc w:val="left"/>
        <w:rPr>
          <w:bCs/>
          <w:sz w:val="24"/>
          <w:szCs w:val="24"/>
        </w:rPr>
      </w:pPr>
      <w:r w:rsidRPr="0073088A">
        <w:rPr>
          <w:b/>
          <w:sz w:val="24"/>
          <w:szCs w:val="24"/>
        </w:rPr>
        <w:t>Opinion No.</w:t>
      </w:r>
      <w:r w:rsidRPr="0073088A">
        <w:rPr>
          <w:sz w:val="24"/>
          <w:szCs w:val="24"/>
        </w:rPr>
        <w:t xml:space="preserve"> S252702</w:t>
      </w:r>
    </w:p>
    <w:p w14:paraId="1E0455D9" w14:textId="77777777" w:rsidR="0073088A" w:rsidRPr="0073088A" w:rsidRDefault="0073088A" w:rsidP="0073088A">
      <w:pPr>
        <w:spacing w:after="0" w:line="240" w:lineRule="auto"/>
        <w:jc w:val="left"/>
        <w:rPr>
          <w:bCs/>
          <w:sz w:val="24"/>
          <w:szCs w:val="24"/>
        </w:rPr>
      </w:pPr>
      <w:r w:rsidRPr="0073088A">
        <w:rPr>
          <w:b/>
          <w:sz w:val="24"/>
          <w:szCs w:val="24"/>
        </w:rPr>
        <w:t>Date Filed:</w:t>
      </w:r>
      <w:r w:rsidRPr="0073088A">
        <w:rPr>
          <w:sz w:val="24"/>
          <w:szCs w:val="24"/>
        </w:rPr>
        <w:t xml:space="preserve">  August 1, 2022</w:t>
      </w:r>
    </w:p>
    <w:p w14:paraId="275E1E1B" w14:textId="77777777" w:rsidR="0073088A" w:rsidRPr="0073088A" w:rsidRDefault="0073088A" w:rsidP="0073088A">
      <w:pPr>
        <w:spacing w:after="0" w:line="240" w:lineRule="auto"/>
        <w:jc w:val="left"/>
        <w:rPr>
          <w:b/>
          <w:sz w:val="24"/>
          <w:szCs w:val="24"/>
        </w:rPr>
      </w:pPr>
      <w:r w:rsidRPr="0073088A">
        <w:rPr>
          <w:b/>
          <w:sz w:val="24"/>
          <w:szCs w:val="24"/>
        </w:rPr>
        <w:t xml:space="preserve">__________________________________________________________ </w:t>
      </w:r>
    </w:p>
    <w:p w14:paraId="60B5B518" w14:textId="77777777" w:rsidR="0073088A" w:rsidRPr="0073088A" w:rsidRDefault="0073088A" w:rsidP="0073088A">
      <w:pPr>
        <w:spacing w:after="0" w:line="240" w:lineRule="auto"/>
        <w:jc w:val="left"/>
        <w:rPr>
          <w:b/>
          <w:sz w:val="24"/>
          <w:szCs w:val="24"/>
        </w:rPr>
      </w:pPr>
    </w:p>
    <w:p w14:paraId="35F137E8" w14:textId="77777777" w:rsidR="0073088A" w:rsidRPr="0073088A" w:rsidRDefault="0073088A" w:rsidP="0073088A">
      <w:pPr>
        <w:spacing w:after="0" w:line="240" w:lineRule="auto"/>
        <w:jc w:val="left"/>
        <w:rPr>
          <w:bCs/>
          <w:sz w:val="24"/>
          <w:szCs w:val="24"/>
        </w:rPr>
      </w:pPr>
      <w:r w:rsidRPr="0073088A">
        <w:rPr>
          <w:b/>
          <w:sz w:val="24"/>
          <w:szCs w:val="24"/>
        </w:rPr>
        <w:t xml:space="preserve">Court:  </w:t>
      </w:r>
      <w:r w:rsidRPr="0073088A">
        <w:rPr>
          <w:bCs/>
          <w:sz w:val="24"/>
          <w:szCs w:val="24"/>
        </w:rPr>
        <w:t>Superior</w:t>
      </w:r>
      <w:r w:rsidRPr="0073088A">
        <w:rPr>
          <w:b/>
          <w:sz w:val="24"/>
          <w:szCs w:val="24"/>
        </w:rPr>
        <w:t xml:space="preserve"> </w:t>
      </w:r>
    </w:p>
    <w:p w14:paraId="01FA7F20" w14:textId="77777777" w:rsidR="0073088A" w:rsidRPr="0073088A" w:rsidRDefault="0073088A" w:rsidP="0073088A">
      <w:pPr>
        <w:spacing w:after="0" w:line="240" w:lineRule="auto"/>
        <w:jc w:val="left"/>
        <w:rPr>
          <w:bCs/>
          <w:sz w:val="24"/>
          <w:szCs w:val="24"/>
        </w:rPr>
      </w:pPr>
      <w:r w:rsidRPr="0073088A">
        <w:rPr>
          <w:b/>
          <w:sz w:val="24"/>
          <w:szCs w:val="24"/>
        </w:rPr>
        <w:t xml:space="preserve">County:  </w:t>
      </w:r>
      <w:r w:rsidRPr="0073088A">
        <w:rPr>
          <w:bCs/>
          <w:sz w:val="24"/>
          <w:szCs w:val="24"/>
        </w:rPr>
        <w:t>Fresno</w:t>
      </w:r>
    </w:p>
    <w:p w14:paraId="01EB98D0" w14:textId="77777777" w:rsidR="0073088A" w:rsidRPr="0073088A" w:rsidRDefault="0073088A" w:rsidP="0073088A">
      <w:pPr>
        <w:spacing w:after="0" w:line="240" w:lineRule="auto"/>
        <w:ind w:left="720" w:hanging="720"/>
        <w:jc w:val="left"/>
        <w:rPr>
          <w:bCs/>
          <w:sz w:val="24"/>
          <w:szCs w:val="24"/>
        </w:rPr>
      </w:pPr>
      <w:r w:rsidRPr="0073088A">
        <w:rPr>
          <w:b/>
          <w:sz w:val="24"/>
          <w:szCs w:val="24"/>
        </w:rPr>
        <w:t xml:space="preserve">Judge:  </w:t>
      </w:r>
      <w:r w:rsidRPr="0073088A">
        <w:rPr>
          <w:bCs/>
          <w:sz w:val="24"/>
          <w:szCs w:val="24"/>
        </w:rPr>
        <w:t>W. Kent Hamlin</w:t>
      </w:r>
    </w:p>
    <w:p w14:paraId="46522128" w14:textId="77777777" w:rsidR="0073088A" w:rsidRPr="0073088A" w:rsidRDefault="0073088A" w:rsidP="0073088A">
      <w:pPr>
        <w:spacing w:after="0" w:line="240" w:lineRule="auto"/>
        <w:jc w:val="left"/>
        <w:rPr>
          <w:b/>
          <w:sz w:val="24"/>
          <w:szCs w:val="24"/>
        </w:rPr>
      </w:pPr>
      <w:r w:rsidRPr="0073088A">
        <w:rPr>
          <w:b/>
          <w:sz w:val="24"/>
          <w:szCs w:val="24"/>
        </w:rPr>
        <w:t xml:space="preserve">__________________________________________________________  </w:t>
      </w:r>
    </w:p>
    <w:p w14:paraId="57CED1D8" w14:textId="77777777" w:rsidR="0073088A" w:rsidRPr="0073088A" w:rsidRDefault="0073088A" w:rsidP="0073088A">
      <w:pPr>
        <w:spacing w:after="0" w:line="240" w:lineRule="auto"/>
        <w:jc w:val="left"/>
        <w:rPr>
          <w:b/>
          <w:sz w:val="24"/>
          <w:szCs w:val="24"/>
        </w:rPr>
      </w:pPr>
    </w:p>
    <w:p w14:paraId="34552742" w14:textId="77777777" w:rsidR="0073088A" w:rsidRPr="0073088A" w:rsidRDefault="0073088A" w:rsidP="0073088A">
      <w:pPr>
        <w:spacing w:after="0" w:line="240" w:lineRule="auto"/>
        <w:jc w:val="left"/>
        <w:rPr>
          <w:b/>
          <w:sz w:val="24"/>
          <w:szCs w:val="24"/>
        </w:rPr>
      </w:pPr>
      <w:r w:rsidRPr="0073088A">
        <w:rPr>
          <w:b/>
          <w:sz w:val="24"/>
          <w:szCs w:val="24"/>
        </w:rPr>
        <w:t>Counsel:</w:t>
      </w:r>
    </w:p>
    <w:p w14:paraId="41CFD602" w14:textId="77777777" w:rsidR="0073088A" w:rsidRPr="0073088A" w:rsidRDefault="0073088A" w:rsidP="0073088A">
      <w:pPr>
        <w:spacing w:after="0" w:line="240" w:lineRule="auto"/>
        <w:jc w:val="left"/>
        <w:rPr>
          <w:b/>
          <w:sz w:val="24"/>
          <w:szCs w:val="24"/>
        </w:rPr>
      </w:pPr>
    </w:p>
    <w:p w14:paraId="5D51EC0F" w14:textId="77777777" w:rsidR="0073088A" w:rsidRPr="0073088A" w:rsidRDefault="0073088A" w:rsidP="0073088A">
      <w:pPr>
        <w:spacing w:after="0" w:line="240" w:lineRule="auto"/>
        <w:jc w:val="left"/>
        <w:rPr>
          <w:bCs/>
          <w:sz w:val="24"/>
          <w:szCs w:val="24"/>
        </w:rPr>
      </w:pPr>
      <w:r w:rsidRPr="0073088A">
        <w:rPr>
          <w:bCs/>
          <w:sz w:val="24"/>
          <w:szCs w:val="24"/>
        </w:rPr>
        <w:t>Lisa A. Smittcamp, District Attorney, Robert Whalen, Chief Deputy District Attorney, and Douglas O. Treisman, Deputy District Attorney, for Plaintiff and Appellant.</w:t>
      </w:r>
    </w:p>
    <w:p w14:paraId="2AD9D36B" w14:textId="77777777" w:rsidR="0073088A" w:rsidRPr="0073088A" w:rsidRDefault="0073088A" w:rsidP="0073088A">
      <w:pPr>
        <w:spacing w:after="0" w:line="240" w:lineRule="auto"/>
        <w:jc w:val="left"/>
        <w:rPr>
          <w:bCs/>
          <w:sz w:val="24"/>
          <w:szCs w:val="24"/>
        </w:rPr>
      </w:pPr>
    </w:p>
    <w:p w14:paraId="01906CCB" w14:textId="77777777" w:rsidR="0073088A" w:rsidRPr="0073088A" w:rsidRDefault="0073088A" w:rsidP="0073088A">
      <w:pPr>
        <w:spacing w:after="0" w:line="240" w:lineRule="auto"/>
        <w:jc w:val="left"/>
        <w:rPr>
          <w:bCs/>
          <w:sz w:val="24"/>
          <w:szCs w:val="24"/>
        </w:rPr>
      </w:pPr>
      <w:r w:rsidRPr="0073088A">
        <w:rPr>
          <w:bCs/>
          <w:sz w:val="24"/>
          <w:szCs w:val="24"/>
        </w:rPr>
        <w:t>Barbara A. Smith, under appointment by the Supreme Court, for Defendant and Respondent.</w:t>
      </w:r>
    </w:p>
    <w:p w14:paraId="1CAA4EB6" w14:textId="77777777" w:rsidR="0073088A" w:rsidRPr="0073088A" w:rsidRDefault="0073088A" w:rsidP="0073088A">
      <w:pPr>
        <w:spacing w:after="0" w:line="240" w:lineRule="auto"/>
        <w:jc w:val="left"/>
        <w:rPr>
          <w:b/>
          <w:sz w:val="24"/>
          <w:szCs w:val="24"/>
        </w:rPr>
      </w:pPr>
    </w:p>
    <w:p w14:paraId="4C9A60FA" w14:textId="77777777" w:rsidR="0073088A" w:rsidRPr="0073088A" w:rsidRDefault="0073088A" w:rsidP="0073088A">
      <w:pPr>
        <w:spacing w:after="0" w:line="240" w:lineRule="auto"/>
        <w:jc w:val="left"/>
        <w:rPr>
          <w:bCs/>
          <w:sz w:val="24"/>
          <w:szCs w:val="24"/>
        </w:rPr>
      </w:pPr>
      <w:r w:rsidRPr="0073088A">
        <w:rPr>
          <w:bCs/>
          <w:sz w:val="24"/>
          <w:szCs w:val="24"/>
        </w:rPr>
        <w:t>C. Matthew Missakian and Stephen K. Dunkle for California Attorneys for Criminal Justice as Amicus Curiae on behalf of Defendant and Respondent.</w:t>
      </w:r>
    </w:p>
    <w:p w14:paraId="59873963" w14:textId="77777777" w:rsidR="0073088A" w:rsidRPr="0073088A" w:rsidRDefault="0073088A" w:rsidP="0073088A">
      <w:pPr>
        <w:spacing w:after="0" w:line="240" w:lineRule="auto"/>
        <w:jc w:val="left"/>
        <w:rPr>
          <w:b/>
          <w:sz w:val="24"/>
          <w:szCs w:val="24"/>
        </w:rPr>
      </w:pPr>
      <w:r w:rsidRPr="0073088A">
        <w:rPr>
          <w:bCs/>
          <w:color w:val="212121"/>
          <w:sz w:val="24"/>
          <w:szCs w:val="24"/>
          <w:shd w:val="clear" w:color="auto" w:fill="FFFFFF"/>
        </w:rPr>
        <w:br w:type="page"/>
      </w:r>
      <w:r w:rsidRPr="0073088A">
        <w:rPr>
          <w:b/>
          <w:sz w:val="24"/>
          <w:szCs w:val="24"/>
        </w:rPr>
        <w:lastRenderedPageBreak/>
        <w:t>Counsel who argued in Supreme Court (not intended for publication with opinion):</w:t>
      </w:r>
    </w:p>
    <w:p w14:paraId="33B175F7" w14:textId="77777777" w:rsidR="0073088A" w:rsidRPr="0073088A" w:rsidRDefault="0073088A" w:rsidP="0073088A">
      <w:pPr>
        <w:spacing w:after="0" w:line="240" w:lineRule="auto"/>
        <w:jc w:val="left"/>
        <w:rPr>
          <w:b/>
          <w:sz w:val="24"/>
          <w:szCs w:val="24"/>
        </w:rPr>
      </w:pPr>
    </w:p>
    <w:bookmarkEnd w:id="22"/>
    <w:p w14:paraId="3A0746E5" w14:textId="77777777" w:rsidR="0073088A" w:rsidRPr="0073088A" w:rsidRDefault="0073088A" w:rsidP="0073088A">
      <w:pPr>
        <w:spacing w:after="0" w:line="240" w:lineRule="auto"/>
        <w:jc w:val="left"/>
        <w:rPr>
          <w:bCs/>
          <w:sz w:val="24"/>
          <w:szCs w:val="24"/>
        </w:rPr>
      </w:pPr>
      <w:r w:rsidRPr="0073088A">
        <w:rPr>
          <w:bCs/>
          <w:sz w:val="24"/>
          <w:szCs w:val="24"/>
        </w:rPr>
        <w:t>Douglas O. Treisman</w:t>
      </w:r>
    </w:p>
    <w:p w14:paraId="44378194" w14:textId="77777777" w:rsidR="0073088A" w:rsidRPr="0073088A" w:rsidRDefault="0073088A" w:rsidP="0073088A">
      <w:pPr>
        <w:spacing w:after="0" w:line="240" w:lineRule="auto"/>
        <w:jc w:val="left"/>
        <w:rPr>
          <w:bCs/>
          <w:sz w:val="24"/>
          <w:szCs w:val="24"/>
        </w:rPr>
      </w:pPr>
      <w:r w:rsidRPr="0073088A">
        <w:rPr>
          <w:bCs/>
          <w:sz w:val="24"/>
          <w:szCs w:val="24"/>
        </w:rPr>
        <w:t>Deputy District Attorney</w:t>
      </w:r>
    </w:p>
    <w:p w14:paraId="2072E20F" w14:textId="77777777" w:rsidR="0073088A" w:rsidRPr="0073088A" w:rsidRDefault="0073088A" w:rsidP="0073088A">
      <w:pPr>
        <w:spacing w:after="0" w:line="240" w:lineRule="auto"/>
        <w:jc w:val="left"/>
        <w:rPr>
          <w:bCs/>
          <w:sz w:val="24"/>
          <w:szCs w:val="24"/>
        </w:rPr>
      </w:pPr>
      <w:r w:rsidRPr="0073088A">
        <w:rPr>
          <w:bCs/>
          <w:sz w:val="24"/>
          <w:szCs w:val="24"/>
        </w:rPr>
        <w:t>2100 Tulare Street</w:t>
      </w:r>
    </w:p>
    <w:p w14:paraId="72572460" w14:textId="77777777" w:rsidR="0073088A" w:rsidRPr="0073088A" w:rsidRDefault="0073088A" w:rsidP="0073088A">
      <w:pPr>
        <w:spacing w:after="0" w:line="240" w:lineRule="auto"/>
        <w:jc w:val="left"/>
        <w:rPr>
          <w:bCs/>
          <w:sz w:val="24"/>
          <w:szCs w:val="24"/>
        </w:rPr>
      </w:pPr>
      <w:r w:rsidRPr="0073088A">
        <w:rPr>
          <w:bCs/>
          <w:sz w:val="24"/>
          <w:szCs w:val="24"/>
        </w:rPr>
        <w:t>Fresno, CA 93721</w:t>
      </w:r>
    </w:p>
    <w:p w14:paraId="141B694B" w14:textId="77777777" w:rsidR="0073088A" w:rsidRPr="0073088A" w:rsidRDefault="0073088A" w:rsidP="0073088A">
      <w:pPr>
        <w:spacing w:after="0" w:line="240" w:lineRule="auto"/>
        <w:jc w:val="left"/>
        <w:rPr>
          <w:bCs/>
          <w:color w:val="212121"/>
          <w:sz w:val="24"/>
          <w:szCs w:val="24"/>
          <w:shd w:val="clear" w:color="auto" w:fill="FFFFFF"/>
        </w:rPr>
      </w:pPr>
      <w:r w:rsidRPr="0073088A">
        <w:rPr>
          <w:bCs/>
          <w:sz w:val="24"/>
          <w:szCs w:val="24"/>
        </w:rPr>
        <w:t>(559) 600-4387</w:t>
      </w:r>
    </w:p>
    <w:p w14:paraId="7AA323CE" w14:textId="77777777" w:rsidR="0073088A" w:rsidRPr="0073088A" w:rsidRDefault="0073088A" w:rsidP="0073088A">
      <w:pPr>
        <w:spacing w:after="0" w:line="240" w:lineRule="auto"/>
        <w:jc w:val="left"/>
        <w:rPr>
          <w:bCs/>
          <w:color w:val="212121"/>
          <w:sz w:val="24"/>
          <w:szCs w:val="24"/>
          <w:shd w:val="clear" w:color="auto" w:fill="FFFFFF"/>
        </w:rPr>
      </w:pPr>
    </w:p>
    <w:p w14:paraId="5FA19390" w14:textId="77777777" w:rsidR="0073088A" w:rsidRPr="0073088A" w:rsidRDefault="0073088A" w:rsidP="0073088A">
      <w:pPr>
        <w:spacing w:after="0" w:line="240" w:lineRule="auto"/>
        <w:jc w:val="left"/>
        <w:rPr>
          <w:bCs/>
          <w:color w:val="212121"/>
          <w:sz w:val="24"/>
          <w:szCs w:val="24"/>
          <w:shd w:val="clear" w:color="auto" w:fill="FFFFFF"/>
        </w:rPr>
      </w:pPr>
      <w:r w:rsidRPr="0073088A">
        <w:rPr>
          <w:bCs/>
          <w:color w:val="212121"/>
          <w:sz w:val="24"/>
          <w:szCs w:val="24"/>
          <w:shd w:val="clear" w:color="auto" w:fill="FFFFFF"/>
        </w:rPr>
        <w:t>Barbara A. Smith</w:t>
      </w:r>
    </w:p>
    <w:p w14:paraId="54A6F3B9" w14:textId="77777777" w:rsidR="0073088A" w:rsidRPr="0073088A" w:rsidRDefault="0073088A" w:rsidP="0073088A">
      <w:pPr>
        <w:spacing w:after="0" w:line="240" w:lineRule="auto"/>
        <w:jc w:val="left"/>
        <w:rPr>
          <w:bCs/>
          <w:color w:val="212121"/>
          <w:sz w:val="24"/>
          <w:szCs w:val="24"/>
          <w:shd w:val="clear" w:color="auto" w:fill="FFFFFF"/>
        </w:rPr>
      </w:pPr>
      <w:r w:rsidRPr="0073088A">
        <w:rPr>
          <w:bCs/>
          <w:color w:val="212121"/>
          <w:sz w:val="24"/>
          <w:szCs w:val="24"/>
          <w:shd w:val="clear" w:color="auto" w:fill="FFFFFF"/>
        </w:rPr>
        <w:t>Attorney At Law</w:t>
      </w:r>
    </w:p>
    <w:p w14:paraId="23E0D614" w14:textId="77777777" w:rsidR="0073088A" w:rsidRPr="0073088A" w:rsidRDefault="0073088A" w:rsidP="0073088A">
      <w:pPr>
        <w:spacing w:after="0" w:line="240" w:lineRule="auto"/>
        <w:jc w:val="left"/>
        <w:rPr>
          <w:bCs/>
          <w:color w:val="212121"/>
          <w:sz w:val="24"/>
          <w:szCs w:val="24"/>
          <w:shd w:val="clear" w:color="auto" w:fill="FFFFFF"/>
        </w:rPr>
      </w:pPr>
      <w:r w:rsidRPr="0073088A">
        <w:rPr>
          <w:bCs/>
          <w:color w:val="212121"/>
          <w:sz w:val="24"/>
          <w:szCs w:val="24"/>
          <w:shd w:val="clear" w:color="auto" w:fill="FFFFFF"/>
        </w:rPr>
        <w:t>8359 Elk Grove Florin Road, #103-305</w:t>
      </w:r>
    </w:p>
    <w:p w14:paraId="038176E4" w14:textId="77777777" w:rsidR="0073088A" w:rsidRPr="0073088A" w:rsidRDefault="0073088A" w:rsidP="0073088A">
      <w:pPr>
        <w:spacing w:after="0" w:line="240" w:lineRule="auto"/>
        <w:jc w:val="left"/>
        <w:rPr>
          <w:bCs/>
          <w:color w:val="212121"/>
          <w:sz w:val="24"/>
          <w:szCs w:val="24"/>
          <w:shd w:val="clear" w:color="auto" w:fill="FFFFFF"/>
        </w:rPr>
      </w:pPr>
      <w:r w:rsidRPr="0073088A">
        <w:rPr>
          <w:bCs/>
          <w:color w:val="212121"/>
          <w:sz w:val="24"/>
          <w:szCs w:val="24"/>
          <w:shd w:val="clear" w:color="auto" w:fill="FFFFFF"/>
        </w:rPr>
        <w:t>Sacramento, CA 95829</w:t>
      </w:r>
    </w:p>
    <w:p w14:paraId="18BAB018" w14:textId="77777777" w:rsidR="0073088A" w:rsidRPr="0073088A" w:rsidRDefault="0073088A" w:rsidP="0073088A">
      <w:pPr>
        <w:spacing w:after="0" w:line="240" w:lineRule="auto"/>
        <w:jc w:val="left"/>
        <w:rPr>
          <w:bCs/>
          <w:color w:val="212121"/>
          <w:sz w:val="24"/>
          <w:szCs w:val="24"/>
          <w:shd w:val="clear" w:color="auto" w:fill="FFFFFF"/>
        </w:rPr>
      </w:pPr>
      <w:r w:rsidRPr="0073088A">
        <w:rPr>
          <w:bCs/>
          <w:color w:val="212121"/>
          <w:sz w:val="24"/>
          <w:szCs w:val="24"/>
          <w:shd w:val="clear" w:color="auto" w:fill="FFFFFF"/>
        </w:rPr>
        <w:t>(619) 559-6427</w:t>
      </w:r>
    </w:p>
    <w:p w14:paraId="7DD7914C" w14:textId="77777777" w:rsidR="00424FAC" w:rsidRPr="0047127A" w:rsidRDefault="00424FAC" w:rsidP="0047127A">
      <w:pPr>
        <w:tabs>
          <w:tab w:val="left" w:pos="1440"/>
        </w:tabs>
        <w:rPr>
          <w:strike/>
        </w:rPr>
      </w:pPr>
    </w:p>
    <w:sectPr w:rsidR="00424FAC" w:rsidRPr="0047127A" w:rsidSect="0047127A">
      <w:headerReference w:type="default" r:id="rId11"/>
      <w:footerReference w:type="default" r:id="rId12"/>
      <w:footerReference w:type="first" r:id="rId13"/>
      <w:footnotePr>
        <w:numRestart w:val="eachSect"/>
      </w:footnotePr>
      <w:pgSz w:w="12240" w:h="15840"/>
      <w:pgMar w:top="1800" w:right="2160" w:bottom="1440" w:left="216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1F65" w14:textId="77777777" w:rsidR="0021496A" w:rsidRDefault="0021496A">
      <w:r>
        <w:separator/>
      </w:r>
    </w:p>
  </w:endnote>
  <w:endnote w:type="continuationSeparator" w:id="0">
    <w:p w14:paraId="6D712378" w14:textId="77777777" w:rsidR="0021496A" w:rsidRDefault="0021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D43D" w14:textId="77777777" w:rsidR="00621092" w:rsidRDefault="00621092">
    <w:pPr>
      <w:pStyle w:val="Footer"/>
    </w:pPr>
    <w:r>
      <w:fldChar w:fldCharType="begin"/>
    </w:r>
    <w:r>
      <w:instrText>PAGE</w:instrText>
    </w:r>
    <w:r>
      <w:fldChar w:fldCharType="separate"/>
    </w:r>
    <w:r>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D521" w14:textId="77777777" w:rsidR="0047127A" w:rsidRDefault="0047127A">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1F84" w14:textId="3197E159" w:rsidR="0073088A" w:rsidRPr="0073088A" w:rsidRDefault="0073088A" w:rsidP="007308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48BF" w14:textId="402F6DA3" w:rsidR="000D7906" w:rsidRPr="000D7906" w:rsidRDefault="000D7906" w:rsidP="000D7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5F8E" w14:textId="77777777" w:rsidR="0021496A" w:rsidRDefault="0021496A">
      <w:r>
        <w:separator/>
      </w:r>
    </w:p>
  </w:footnote>
  <w:footnote w:type="continuationSeparator" w:id="0">
    <w:p w14:paraId="782E3FCF" w14:textId="77777777" w:rsidR="0021496A" w:rsidRDefault="0021496A">
      <w:pPr>
        <w:rPr>
          <w:sz w:val="22"/>
        </w:rPr>
      </w:pPr>
      <w:r>
        <w:continuationSeparator/>
      </w:r>
    </w:p>
  </w:footnote>
  <w:footnote w:type="continuationNotice" w:id="1">
    <w:p w14:paraId="04378E57" w14:textId="77777777" w:rsidR="0021496A" w:rsidRDefault="0021496A">
      <w:pPr>
        <w:jc w:val="right"/>
        <w:rPr>
          <w:i/>
          <w:sz w:val="20"/>
        </w:rPr>
      </w:pPr>
    </w:p>
  </w:footnote>
  <w:footnote w:id="2">
    <w:p w14:paraId="5877D65D" w14:textId="77777777" w:rsidR="00621092" w:rsidRDefault="00621092" w:rsidP="0047127A">
      <w:pPr>
        <w:pStyle w:val="FootnoteText"/>
      </w:pPr>
      <w:r>
        <w:rPr>
          <w:rStyle w:val="FootnoteReference"/>
        </w:rPr>
        <w:footnoteRef/>
      </w:r>
      <w:r>
        <w:t xml:space="preserve"> </w:t>
      </w:r>
      <w:r>
        <w:tab/>
        <w:t>All further undesignated statutory references are to the Penal Code.</w:t>
      </w:r>
    </w:p>
  </w:footnote>
  <w:footnote w:id="3">
    <w:p w14:paraId="498BABFF" w14:textId="1046A4DC" w:rsidR="00E42D7F" w:rsidRDefault="00E42D7F">
      <w:pPr>
        <w:pStyle w:val="FootnoteText"/>
      </w:pPr>
      <w:r>
        <w:rPr>
          <w:rStyle w:val="FootnoteReference"/>
        </w:rPr>
        <w:footnoteRef/>
      </w:r>
      <w:r>
        <w:t xml:space="preserve"> </w:t>
      </w:r>
      <w:r>
        <w:tab/>
        <w:t xml:space="preserve">Although the complaint was filed </w:t>
      </w:r>
      <w:r w:rsidR="007A4537" w:rsidRPr="00F775B2">
        <w:rPr>
          <w:i/>
          <w:iCs/>
        </w:rPr>
        <w:t>at</w:t>
      </w:r>
      <w:r>
        <w:t xml:space="preserve"> the superior court, it was technically filed </w:t>
      </w:r>
      <w:r w:rsidR="00C80B87">
        <w:t>“</w:t>
      </w:r>
      <w:r>
        <w:t>with the magistrate,</w:t>
      </w:r>
      <w:r w:rsidR="00C80B87">
        <w:t>”</w:t>
      </w:r>
      <w:r>
        <w:t xml:space="preserve"> not with </w:t>
      </w:r>
      <w:r w:rsidR="007A4537" w:rsidRPr="007A4537">
        <w:t>the superior court itself.</w:t>
      </w:r>
      <w:r>
        <w:t xml:space="preserve">  (§ 806</w:t>
      </w:r>
      <w:r w:rsidR="00462DE0">
        <w:t>.</w:t>
      </w:r>
      <w:r>
        <w:t>)</w:t>
      </w:r>
      <w:r w:rsidR="00462DE0">
        <w:t xml:space="preserve">  </w:t>
      </w:r>
      <w:r w:rsidR="00F775B2">
        <w:t>Subject to limited exceptions, t</w:t>
      </w:r>
      <w:r w:rsidR="00462DE0">
        <w:t>he first pleading that invokes the superior court</w:t>
      </w:r>
      <w:r w:rsidR="00B05D43">
        <w:t>’s jurisdiction</w:t>
      </w:r>
      <w:r w:rsidR="00462DE0">
        <w:t xml:space="preserve"> </w:t>
      </w:r>
      <w:r w:rsidR="00C80B87">
        <w:t xml:space="preserve">in a felony case </w:t>
      </w:r>
      <w:r w:rsidR="00462DE0">
        <w:t xml:space="preserve">is </w:t>
      </w:r>
      <w:r w:rsidR="00772AD8">
        <w:t xml:space="preserve">the </w:t>
      </w:r>
      <w:r>
        <w:t>information</w:t>
      </w:r>
      <w:r w:rsidR="00C80B87">
        <w:t xml:space="preserve"> or the indictment</w:t>
      </w:r>
      <w:r w:rsidR="00462DE0">
        <w:t xml:space="preserve">.  </w:t>
      </w:r>
      <w:r w:rsidR="00772AD8">
        <w:t>(</w:t>
      </w:r>
      <w:r w:rsidR="00772AD8" w:rsidRPr="00E42D7F">
        <w:t>§§</w:t>
      </w:r>
      <w:r w:rsidR="00772AD8">
        <w:t> </w:t>
      </w:r>
      <w:r w:rsidR="00A53357">
        <w:t xml:space="preserve">682, </w:t>
      </w:r>
      <w:r w:rsidR="00525C82">
        <w:t xml:space="preserve">737, </w:t>
      </w:r>
      <w:r w:rsidR="00772AD8" w:rsidRPr="00E42D7F">
        <w:t>739, 860</w:t>
      </w:r>
      <w:r w:rsidR="00F54EC2">
        <w:t>, 944</w:t>
      </w:r>
      <w:r w:rsidR="00462DE0">
        <w:t>.</w:t>
      </w:r>
      <w:r w:rsidR="00772AD8">
        <w:t>)</w:t>
      </w:r>
      <w:r w:rsidR="00462DE0">
        <w:t xml:space="preserve">  </w:t>
      </w:r>
      <w:r>
        <w:t>Th</w:t>
      </w:r>
      <w:r w:rsidR="009A4DB2">
        <w:t>e</w:t>
      </w:r>
      <w:r>
        <w:t xml:space="preserve"> distinction </w:t>
      </w:r>
      <w:r w:rsidR="00F54EC2">
        <w:t>between magistrate</w:t>
      </w:r>
      <w:r w:rsidR="009A4DB2">
        <w:t xml:space="preserve"> </w:t>
      </w:r>
      <w:r w:rsidR="00EA3A54">
        <w:t xml:space="preserve">proceedings </w:t>
      </w:r>
      <w:r w:rsidR="00F54EC2">
        <w:t xml:space="preserve">and trial court proceedings </w:t>
      </w:r>
      <w:r>
        <w:t xml:space="preserve">is significant </w:t>
      </w:r>
      <w:r w:rsidR="00462DE0">
        <w:t>here</w:t>
      </w:r>
      <w:r>
        <w:t>.</w:t>
      </w:r>
      <w:r w:rsidR="00350212">
        <w:t xml:space="preserve">  Therefore, for the sake of clarity, we use the term “magistrate case” when discussing </w:t>
      </w:r>
      <w:r w:rsidR="009A4DB2">
        <w:t xml:space="preserve">proceedings </w:t>
      </w:r>
      <w:r w:rsidR="00A53357">
        <w:t xml:space="preserve">that occurred </w:t>
      </w:r>
      <w:r w:rsidR="009A4DB2">
        <w:t xml:space="preserve">before a </w:t>
      </w:r>
      <w:r w:rsidR="00462DE0">
        <w:t>magistrate</w:t>
      </w:r>
      <w:r w:rsidR="00350212">
        <w:t>.</w:t>
      </w:r>
    </w:p>
  </w:footnote>
  <w:footnote w:id="4">
    <w:p w14:paraId="5676920B" w14:textId="4414B6B5" w:rsidR="008B47C3" w:rsidRDefault="008B47C3" w:rsidP="0047127A">
      <w:pPr>
        <w:pStyle w:val="FootnoteText"/>
      </w:pPr>
      <w:r>
        <w:rPr>
          <w:rStyle w:val="FootnoteReference"/>
        </w:rPr>
        <w:footnoteRef/>
      </w:r>
      <w:r>
        <w:t xml:space="preserve"> </w:t>
      </w:r>
      <w:r>
        <w:tab/>
      </w:r>
      <w:r w:rsidR="0096574C">
        <w:t xml:space="preserve">As </w:t>
      </w:r>
      <w:r w:rsidR="00350212">
        <w:t xml:space="preserve">noted </w:t>
      </w:r>
      <w:r w:rsidR="00E21871">
        <w:t xml:space="preserve">on page 3, </w:t>
      </w:r>
      <w:r w:rsidR="00350212">
        <w:t xml:space="preserve">footnote 2, </w:t>
      </w:r>
      <w:r w:rsidR="00350212" w:rsidRPr="00350212">
        <w:rPr>
          <w:i/>
          <w:iCs/>
        </w:rPr>
        <w:t>ante</w:t>
      </w:r>
      <w:r w:rsidR="00350212">
        <w:t>, and as will be discussed in detail later in this opinion</w:t>
      </w:r>
      <w:r w:rsidR="0096574C">
        <w:t xml:space="preserve">, magistrate proceedings and </w:t>
      </w:r>
      <w:r w:rsidR="00B737B7">
        <w:t xml:space="preserve">trial court </w:t>
      </w:r>
      <w:r w:rsidR="0096574C">
        <w:t>proceedings are institutionally distinct proceedings</w:t>
      </w:r>
      <w:r w:rsidR="00350212">
        <w:t>.  T</w:t>
      </w:r>
      <w:r w:rsidR="0096574C">
        <w:t>herefore</w:t>
      </w:r>
      <w:r w:rsidR="00E21871">
        <w:t>,</w:t>
      </w:r>
      <w:r w:rsidR="0096574C">
        <w:t xml:space="preserve"> t</w:t>
      </w:r>
      <w:r>
        <w:t>here is no reason why an information</w:t>
      </w:r>
      <w:r w:rsidR="00B737B7">
        <w:t xml:space="preserve"> </w:t>
      </w:r>
      <w:r>
        <w:t xml:space="preserve">needs to be given the same case number as the magistrate proceeding </w:t>
      </w:r>
      <w:r w:rsidR="0096574C">
        <w:t xml:space="preserve">on which the information relies.  Nonetheless, the practice </w:t>
      </w:r>
      <w:r>
        <w:t>in Fresno County</w:t>
      </w:r>
      <w:r w:rsidR="0096574C">
        <w:t xml:space="preserve"> seems to be to give the two proceedings the same case number.</w:t>
      </w:r>
    </w:p>
  </w:footnote>
  <w:footnote w:id="5">
    <w:p w14:paraId="0A516E31" w14:textId="0BA17D27" w:rsidR="00621092" w:rsidRDefault="00621092" w:rsidP="0047127A">
      <w:pPr>
        <w:pStyle w:val="FootnoteText"/>
      </w:pPr>
      <w:r>
        <w:rPr>
          <w:rStyle w:val="FootnoteReference"/>
        </w:rPr>
        <w:footnoteRef/>
      </w:r>
      <w:r>
        <w:t xml:space="preserve"> </w:t>
      </w:r>
      <w:r>
        <w:tab/>
        <w:t>The Court of Appeal dissent explains that “</w:t>
      </w:r>
      <w:r w:rsidRPr="000C1D65">
        <w:t xml:space="preserve">the clerk’s office rejected the information and sent it to the court department where separate arraignments in both cases were scheduled, so that the matter of </w:t>
      </w:r>
      <w:r>
        <w:t>‘</w:t>
      </w:r>
      <w:r w:rsidRPr="000C1D65">
        <w:t>consolidation</w:t>
      </w:r>
      <w:r>
        <w:t>’</w:t>
      </w:r>
      <w:r w:rsidRPr="000C1D65">
        <w:t xml:space="preserve"> could be </w:t>
      </w:r>
      <w:r>
        <w:t>‘</w:t>
      </w:r>
      <w:r w:rsidRPr="000C1D65">
        <w:t>addressed</w:t>
      </w:r>
      <w:r>
        <w:t>’</w:t>
      </w:r>
      <w:r w:rsidRPr="000C1D65">
        <w:t xml:space="preserve"> by the court</w:t>
      </w:r>
      <w:r>
        <w:t>.”  (</w:t>
      </w:r>
      <w:r w:rsidRPr="001D5215">
        <w:rPr>
          <w:i/>
          <w:iCs/>
        </w:rPr>
        <w:t>Henson</w:t>
      </w:r>
      <w:r w:rsidRPr="001D5215">
        <w:t xml:space="preserve">, </w:t>
      </w:r>
      <w:r w:rsidRPr="001D5215">
        <w:rPr>
          <w:i/>
          <w:iCs/>
        </w:rPr>
        <w:t>supra</w:t>
      </w:r>
      <w:r>
        <w:t>, 28 Cal.App.5th at p. 515, dis. opn. of Smith, J.</w:t>
      </w:r>
      <w:r w:rsidR="0010561E">
        <w:t>, fn. omitted.</w:t>
      </w:r>
      <w:r>
        <w:t xml:space="preserve">)  The dissent further states that the judicial assistant in the arraignment department accepted the information for filing and </w:t>
      </w:r>
      <w:r w:rsidRPr="00D1506E">
        <w:t xml:space="preserve">wrote </w:t>
      </w:r>
      <w:r>
        <w:t xml:space="preserve">the word </w:t>
      </w:r>
      <w:r w:rsidRPr="00D1506E">
        <w:t xml:space="preserve">“CONSOLIDATED” </w:t>
      </w:r>
      <w:r>
        <w:t xml:space="preserve">on its face page.  (See </w:t>
      </w:r>
      <w:r>
        <w:rPr>
          <w:i/>
          <w:iCs/>
        </w:rPr>
        <w:t>i</w:t>
      </w:r>
      <w:r w:rsidR="00B37D56">
        <w:rPr>
          <w:i/>
          <w:iCs/>
        </w:rPr>
        <w:t>bid</w:t>
      </w:r>
      <w:r>
        <w:t>.)</w:t>
      </w:r>
    </w:p>
  </w:footnote>
  <w:footnote w:id="6">
    <w:p w14:paraId="36A24165" w14:textId="77777777" w:rsidR="00621092" w:rsidRDefault="00621092" w:rsidP="0047127A">
      <w:pPr>
        <w:pStyle w:val="FootnoteText"/>
      </w:pPr>
      <w:r>
        <w:rPr>
          <w:rStyle w:val="FootnoteReference"/>
        </w:rPr>
        <w:footnoteRef/>
      </w:r>
      <w:r>
        <w:t xml:space="preserve"> </w:t>
      </w:r>
      <w:r>
        <w:tab/>
        <w:t>Section 1002 provides:  “</w:t>
      </w:r>
      <w:r w:rsidRPr="00B77C92">
        <w:t>The only pleading on the part of the defendant</w:t>
      </w:r>
      <w:r>
        <w:t xml:space="preserve"> </w:t>
      </w:r>
      <w:r w:rsidRPr="00B77C92">
        <w:t>is either a demurrer or a plea.</w:t>
      </w:r>
      <w:r>
        <w:t>”  Section 1003 provides:  “</w:t>
      </w:r>
      <w:r w:rsidRPr="00DF2786">
        <w:t>Both the demurrer and plea must be put in, in open Court, either at the time of the arraignment or at such other time as may be allowed to the defendant for that purpose.</w:t>
      </w:r>
      <w:r>
        <w:t>”</w:t>
      </w:r>
    </w:p>
  </w:footnote>
  <w:footnote w:id="7">
    <w:p w14:paraId="4901D47E" w14:textId="2AB08F75" w:rsidR="00621092" w:rsidRDefault="00621092" w:rsidP="0047127A">
      <w:pPr>
        <w:pStyle w:val="FootnoteText"/>
      </w:pPr>
      <w:r>
        <w:rPr>
          <w:rStyle w:val="FootnoteReference"/>
        </w:rPr>
        <w:footnoteRef/>
      </w:r>
      <w:r>
        <w:t xml:space="preserve"> </w:t>
      </w:r>
      <w:r>
        <w:tab/>
      </w:r>
      <w:r w:rsidR="007C06FC">
        <w:t xml:space="preserve">As noted, </w:t>
      </w:r>
      <w:r w:rsidR="007C06FC" w:rsidRPr="007C06FC">
        <w:t>the judicial assistant in the arraignment department</w:t>
      </w:r>
      <w:r w:rsidR="007C06FC">
        <w:t xml:space="preserve"> </w:t>
      </w:r>
      <w:r w:rsidR="007C06FC" w:rsidRPr="007C06FC">
        <w:t xml:space="preserve">wrote the word “CONSOLIDATED” on </w:t>
      </w:r>
      <w:r w:rsidR="007C06FC">
        <w:t xml:space="preserve">the </w:t>
      </w:r>
      <w:r w:rsidR="007C06FC" w:rsidRPr="007C06FC">
        <w:t>face page</w:t>
      </w:r>
      <w:r w:rsidR="007C06FC">
        <w:t xml:space="preserve"> of the information</w:t>
      </w:r>
      <w:r w:rsidR="007C06FC" w:rsidRPr="007C06FC">
        <w:t xml:space="preserve">.  </w:t>
      </w:r>
      <w:r w:rsidR="007C06FC">
        <w:t>In addition, t</w:t>
      </w:r>
      <w:r>
        <w:t xml:space="preserve">he clerk’s minutes for </w:t>
      </w:r>
      <w:r w:rsidR="00493088">
        <w:t xml:space="preserve">magistrate </w:t>
      </w:r>
      <w:r>
        <w:t>case 1499</w:t>
      </w:r>
      <w:r w:rsidR="006C48C7">
        <w:t xml:space="preserve"> state</w:t>
      </w:r>
      <w:r>
        <w:t>:  “Court or</w:t>
      </w:r>
      <w:r w:rsidRPr="00B37D56">
        <w:t>ders case consolidated.  All proceedings will be recorded in:  F16903119.”</w:t>
      </w:r>
      <w:r w:rsidR="00B37D56">
        <w:t xml:space="preserve">  </w:t>
      </w:r>
      <w:r w:rsidRPr="00B37D56">
        <w:t>Similarly, the clerk’s minutes for</w:t>
      </w:r>
      <w:r w:rsidR="00232A39">
        <w:t xml:space="preserve"> </w:t>
      </w:r>
      <w:r w:rsidR="00493088">
        <w:t xml:space="preserve">magistrate </w:t>
      </w:r>
      <w:r w:rsidRPr="00B37D56">
        <w:t>case 3119</w:t>
      </w:r>
      <w:r w:rsidR="006C48C7" w:rsidRPr="00B37D56">
        <w:t xml:space="preserve"> state</w:t>
      </w:r>
      <w:r w:rsidRPr="00B37D56">
        <w:t>:  “Court orders this case as lead case with case Fl6901499 consolidated into this case.”</w:t>
      </w:r>
      <w:r w:rsidR="00B37D56">
        <w:t xml:space="preserve">  </w:t>
      </w:r>
      <w:r w:rsidR="00F77E42">
        <w:t>Finally</w:t>
      </w:r>
      <w:r>
        <w:t xml:space="preserve">, docket entries were made indicating that the </w:t>
      </w:r>
      <w:r w:rsidR="00232A39">
        <w:t xml:space="preserve">two </w:t>
      </w:r>
      <w:r>
        <w:t>cases had been consolidated.  (See</w:t>
      </w:r>
      <w:r w:rsidR="00123DA7">
        <w:t>, e.g.,</w:t>
      </w:r>
      <w:r>
        <w:t xml:space="preserve"> </w:t>
      </w:r>
      <w:r w:rsidRPr="00B91B92">
        <w:rPr>
          <w:i/>
          <w:iCs/>
        </w:rPr>
        <w:t>Henson</w:t>
      </w:r>
      <w:r w:rsidRPr="00B91B92">
        <w:t xml:space="preserve">, </w:t>
      </w:r>
      <w:r w:rsidRPr="00B91B92">
        <w:rPr>
          <w:i/>
          <w:iCs/>
        </w:rPr>
        <w:t>supra</w:t>
      </w:r>
      <w:r>
        <w:t xml:space="preserve">, 28 Cal.App.5th at p. 515, dis. opn. of Smith, J.)  </w:t>
      </w:r>
      <w:r w:rsidR="00232A39">
        <w:t xml:space="preserve">The record, however, </w:t>
      </w:r>
      <w:r>
        <w:t>includes no formal order, either written or oral, consolidating the two cases.  In the context of discussing judgments, we have said that the entry of minutes is “</w:t>
      </w:r>
      <w:r w:rsidRPr="006C68C6">
        <w:t>a clerical function</w:t>
      </w:r>
      <w:r>
        <w:t>”</w:t>
      </w:r>
      <w:r w:rsidRPr="006C68C6">
        <w:t xml:space="preserve"> </w:t>
      </w:r>
      <w:r>
        <w:t>and “</w:t>
      </w:r>
      <w:r w:rsidRPr="006C68C6">
        <w:t>a discrepancy between the judgment as orally pronounced and as entered in the minutes is presumably the result of clerical error.</w:t>
      </w:r>
      <w:r>
        <w:t>”  (</w:t>
      </w:r>
      <w:r w:rsidRPr="00A03CE3">
        <w:rPr>
          <w:i/>
          <w:iCs/>
        </w:rPr>
        <w:t>People v. Mesa</w:t>
      </w:r>
      <w:r>
        <w:t xml:space="preserve"> (1975) 14 Cal.3d 466, 471; see </w:t>
      </w:r>
      <w:r w:rsidRPr="00813FAA">
        <w:rPr>
          <w:i/>
          <w:iCs/>
        </w:rPr>
        <w:t>People v. Leon</w:t>
      </w:r>
      <w:r>
        <w:t xml:space="preserve"> (</w:t>
      </w:r>
      <w:r w:rsidRPr="00813FAA">
        <w:t>2020</w:t>
      </w:r>
      <w:r>
        <w:t xml:space="preserve">) </w:t>
      </w:r>
      <w:r w:rsidRPr="00813FAA">
        <w:t>8 Cal.5th 831</w:t>
      </w:r>
      <w:r>
        <w:t xml:space="preserve">, 855; </w:t>
      </w:r>
      <w:r w:rsidRPr="00D91669">
        <w:rPr>
          <w:i/>
          <w:iCs/>
        </w:rPr>
        <w:t>People v. Farell</w:t>
      </w:r>
      <w:r>
        <w:t xml:space="preserve"> (</w:t>
      </w:r>
      <w:r w:rsidRPr="0032367E">
        <w:t>2002</w:t>
      </w:r>
      <w:r>
        <w:t xml:space="preserve">) </w:t>
      </w:r>
      <w:r w:rsidRPr="0032367E">
        <w:t>28 Cal.4th 381</w:t>
      </w:r>
      <w:r>
        <w:t>, 384, fn. 2.)  Here, where the clerk’s minutes state that the trial court consolidated the cases, but no consolidation order appears in the record, we must likewise conclude that the clerk’s minutes are in error.</w:t>
      </w:r>
    </w:p>
  </w:footnote>
  <w:footnote w:id="8">
    <w:p w14:paraId="17844546" w14:textId="18392CDA" w:rsidR="00621092" w:rsidRDefault="00621092" w:rsidP="0047127A">
      <w:pPr>
        <w:pStyle w:val="FootnoteText"/>
      </w:pPr>
      <w:r>
        <w:rPr>
          <w:rStyle w:val="FootnoteReference"/>
        </w:rPr>
        <w:footnoteRef/>
      </w:r>
      <w:r>
        <w:t xml:space="preserve"> </w:t>
      </w:r>
      <w:r>
        <w:tab/>
      </w:r>
      <w:r w:rsidR="006517E8">
        <w:t>Court unification occurred between 1998 and 2002, and s</w:t>
      </w:r>
      <w:r>
        <w:t xml:space="preserve">ection 954 </w:t>
      </w:r>
      <w:r w:rsidRPr="005A7072">
        <w:t>has not been changed since 1951</w:t>
      </w:r>
      <w:r>
        <w:t>.</w:t>
      </w:r>
    </w:p>
  </w:footnote>
  <w:footnote w:id="9">
    <w:p w14:paraId="608B5EFF" w14:textId="29288504" w:rsidR="00621092" w:rsidRDefault="00621092" w:rsidP="0047127A">
      <w:pPr>
        <w:pStyle w:val="FootnoteText"/>
      </w:pPr>
      <w:r>
        <w:rPr>
          <w:rStyle w:val="FootnoteReference"/>
        </w:rPr>
        <w:footnoteRef/>
      </w:r>
      <w:r>
        <w:t xml:space="preserve"> </w:t>
      </w:r>
      <w:r>
        <w:tab/>
      </w:r>
      <w:r w:rsidRPr="005E676D">
        <w:t xml:space="preserve">In reaching </w:t>
      </w:r>
      <w:r>
        <w:t xml:space="preserve">this </w:t>
      </w:r>
      <w:r w:rsidRPr="005E676D">
        <w:t xml:space="preserve">conclusion, the Court of Appeal glossed over the fact that, before court unification, the </w:t>
      </w:r>
      <w:r w:rsidR="005A7B3E">
        <w:t xml:space="preserve">felony </w:t>
      </w:r>
      <w:r w:rsidRPr="005E676D">
        <w:t xml:space="preserve">complaint was not actually filed </w:t>
      </w:r>
      <w:r w:rsidR="00873855">
        <w:t xml:space="preserve">with </w:t>
      </w:r>
      <w:r w:rsidRPr="005E676D">
        <w:t xml:space="preserve">the municipal court; rather, it was filed with </w:t>
      </w:r>
      <w:r w:rsidR="00800A83">
        <w:t>the</w:t>
      </w:r>
      <w:r w:rsidRPr="005E676D">
        <w:t xml:space="preserve"> magistrate</w:t>
      </w:r>
      <w:r>
        <w:t xml:space="preserve">, who was not acting as an officer of the </w:t>
      </w:r>
      <w:r w:rsidR="00873855">
        <w:t xml:space="preserve">municipal </w:t>
      </w:r>
      <w:r>
        <w:t>court</w:t>
      </w:r>
      <w:r w:rsidRPr="005E676D">
        <w:t xml:space="preserve">.  (See </w:t>
      </w:r>
      <w:r w:rsidRPr="005E676D">
        <w:rPr>
          <w:i/>
          <w:iCs/>
        </w:rPr>
        <w:t>Koski</w:t>
      </w:r>
      <w:r w:rsidR="0019385B">
        <w:rPr>
          <w:i/>
          <w:iCs/>
        </w:rPr>
        <w:t xml:space="preserve"> v. James</w:t>
      </w:r>
      <w:r w:rsidRPr="005E676D">
        <w:t xml:space="preserve">, </w:t>
      </w:r>
      <w:r w:rsidRPr="005E676D">
        <w:rPr>
          <w:i/>
          <w:iCs/>
        </w:rPr>
        <w:t>supra</w:t>
      </w:r>
      <w:r>
        <w:t xml:space="preserve">, </w:t>
      </w:r>
      <w:r w:rsidRPr="00E52A9E">
        <w:t>47 Cal.App.3d</w:t>
      </w:r>
      <w:r w:rsidRPr="005E676D">
        <w:t xml:space="preserve"> at pp. 354–355.)  </w:t>
      </w:r>
      <w:r w:rsidR="008C4E77">
        <w:t>Thus</w:t>
      </w:r>
      <w:r w:rsidRPr="005E676D">
        <w:t xml:space="preserve">, the </w:t>
      </w:r>
      <w:r w:rsidR="00873855">
        <w:t xml:space="preserve">focus on the phrase “in the same court” — a focus </w:t>
      </w:r>
      <w:r w:rsidRPr="005E676D">
        <w:t>that was critical to the Court of Appeal’s reasoning</w:t>
      </w:r>
      <w:r w:rsidR="00873855">
        <w:t xml:space="preserve"> — reflected </w:t>
      </w:r>
      <w:r w:rsidR="00800A83">
        <w:t xml:space="preserve">a misunderstanding of </w:t>
      </w:r>
      <w:r w:rsidR="00873855">
        <w:t xml:space="preserve">the nature of </w:t>
      </w:r>
      <w:r w:rsidR="00800A83">
        <w:t>magistrate proceedings</w:t>
      </w:r>
      <w:r>
        <w:t xml:space="preserve">.  This point is discussed in </w:t>
      </w:r>
      <w:r w:rsidR="00AB50D0">
        <w:t xml:space="preserve">more </w:t>
      </w:r>
      <w:r>
        <w:t>detail below, but it is mentioned briefly here to avoid confusion.</w:t>
      </w:r>
    </w:p>
  </w:footnote>
  <w:footnote w:id="10">
    <w:p w14:paraId="6E9451D4" w14:textId="14258D70" w:rsidR="00B8767D" w:rsidRDefault="00B8767D" w:rsidP="0047127A">
      <w:pPr>
        <w:pStyle w:val="FootnoteText"/>
      </w:pPr>
      <w:r>
        <w:rPr>
          <w:rStyle w:val="FootnoteReference"/>
        </w:rPr>
        <w:footnoteRef/>
      </w:r>
      <w:r>
        <w:t xml:space="preserve"> </w:t>
      </w:r>
      <w:r>
        <w:tab/>
        <w:t>Th</w:t>
      </w:r>
      <w:r w:rsidR="001B03E4">
        <w:t xml:space="preserve">e fact that trial court proceedings are institutionally distinct from magistrate proceedings </w:t>
      </w:r>
      <w:r w:rsidRPr="00516DCF">
        <w:t xml:space="preserve">explains why defense counsel </w:t>
      </w:r>
      <w:r w:rsidR="0086621F">
        <w:t xml:space="preserve">must be </w:t>
      </w:r>
      <w:r w:rsidRPr="00516DCF">
        <w:t>appointed anew</w:t>
      </w:r>
      <w:r>
        <w:t xml:space="preserve"> on </w:t>
      </w:r>
      <w:r w:rsidRPr="00BC570D">
        <w:t xml:space="preserve">the date set for </w:t>
      </w:r>
      <w:r w:rsidR="001B03E4">
        <w:t xml:space="preserve">the </w:t>
      </w:r>
      <w:r w:rsidRPr="00BC570D">
        <w:t>arraignment on the information</w:t>
      </w:r>
      <w:r w:rsidRPr="00516DCF">
        <w:t>.  (See § 987.1</w:t>
      </w:r>
      <w:r w:rsidR="001B03E4">
        <w:t xml:space="preserve">; </w:t>
      </w:r>
      <w:r w:rsidRPr="00516DCF">
        <w:rPr>
          <w:i/>
          <w:iCs/>
        </w:rPr>
        <w:t>Lempert v. Superior Court</w:t>
      </w:r>
      <w:r w:rsidRPr="00516DCF">
        <w:t xml:space="preserve">, </w:t>
      </w:r>
      <w:r w:rsidRPr="00516DCF">
        <w:rPr>
          <w:i/>
          <w:iCs/>
        </w:rPr>
        <w:t>supra</w:t>
      </w:r>
      <w:r w:rsidRPr="00516DCF">
        <w:t>, 112 Cal.App.4th at p</w:t>
      </w:r>
      <w:r>
        <w:t>p</w:t>
      </w:r>
      <w:r w:rsidRPr="00516DCF">
        <w:t xml:space="preserve">. </w:t>
      </w:r>
      <w:r>
        <w:t>1170–</w:t>
      </w:r>
      <w:r w:rsidRPr="00516DCF">
        <w:t>1171.)</w:t>
      </w:r>
    </w:p>
  </w:footnote>
  <w:footnote w:id="11">
    <w:p w14:paraId="0C98B756" w14:textId="18255881" w:rsidR="002A27D0" w:rsidRDefault="002A27D0">
      <w:pPr>
        <w:pStyle w:val="FootnoteText"/>
      </w:pPr>
      <w:r>
        <w:rPr>
          <w:rStyle w:val="FootnoteReference"/>
        </w:rPr>
        <w:footnoteRef/>
      </w:r>
      <w:r>
        <w:t xml:space="preserve"> </w:t>
      </w:r>
      <w:r>
        <w:tab/>
      </w:r>
      <w:r w:rsidRPr="002A27D0">
        <w:t>The dissent</w:t>
      </w:r>
      <w:r w:rsidR="00D20FF4">
        <w:t xml:space="preserve"> </w:t>
      </w:r>
      <w:r w:rsidRPr="002A27D0">
        <w:t xml:space="preserve">describes </w:t>
      </w:r>
      <w:r w:rsidR="00D20FF4" w:rsidRPr="00D20FF4">
        <w:t>the distinction between the threshold proced</w:t>
      </w:r>
      <w:r w:rsidR="003550A3">
        <w:t>ure</w:t>
      </w:r>
      <w:r w:rsidR="00D20FF4" w:rsidRPr="00D20FF4">
        <w:t xml:space="preserve"> and any subsequent court trial</w:t>
      </w:r>
      <w:r w:rsidR="00FA1EC7">
        <w:t xml:space="preserve"> </w:t>
      </w:r>
      <w:r w:rsidRPr="002A27D0">
        <w:t>as mere</w:t>
      </w:r>
      <w:r w:rsidR="005607E0">
        <w:t>ly</w:t>
      </w:r>
      <w:r w:rsidRPr="002A27D0">
        <w:t xml:space="preserve"> </w:t>
      </w:r>
      <w:r w:rsidR="005607E0">
        <w:t xml:space="preserve">a </w:t>
      </w:r>
      <w:r w:rsidRPr="002A27D0">
        <w:t>“technical characterization”</w:t>
      </w:r>
      <w:r w:rsidR="008112CB">
        <w:t xml:space="preserve"> </w:t>
      </w:r>
      <w:r w:rsidR="008C1482">
        <w:t>“</w:t>
      </w:r>
      <w:r w:rsidR="008C1482" w:rsidRPr="008C1482">
        <w:t>of when a felony proceeding begins</w:t>
      </w:r>
      <w:r w:rsidR="008112CB">
        <w:t>.</w:t>
      </w:r>
      <w:r w:rsidR="008C1482">
        <w:t xml:space="preserve">” </w:t>
      </w:r>
      <w:r w:rsidR="008112CB">
        <w:t xml:space="preserve"> </w:t>
      </w:r>
      <w:r w:rsidR="008C1482">
        <w:t>(</w:t>
      </w:r>
      <w:r w:rsidR="008112CB">
        <w:t>D</w:t>
      </w:r>
      <w:r w:rsidR="00EB0836">
        <w:t xml:space="preserve">is. opn. of Kruger, J., </w:t>
      </w:r>
      <w:r w:rsidR="00EB0836" w:rsidRPr="008C1482">
        <w:rPr>
          <w:i/>
          <w:iCs/>
        </w:rPr>
        <w:t>post</w:t>
      </w:r>
      <w:r w:rsidR="00EB0836">
        <w:t>, pp. 13, 15</w:t>
      </w:r>
      <w:r w:rsidR="008112CB">
        <w:t>.</w:t>
      </w:r>
      <w:r w:rsidR="008C1482">
        <w:t>)</w:t>
      </w:r>
      <w:r w:rsidR="00C83260">
        <w:t xml:space="preserve">  </w:t>
      </w:r>
      <w:r w:rsidR="0028468E">
        <w:t xml:space="preserve">The dissent also </w:t>
      </w:r>
      <w:r w:rsidR="00B15BB1">
        <w:t xml:space="preserve">argues that the </w:t>
      </w:r>
      <w:r w:rsidR="00EC0453">
        <w:t xml:space="preserve">institutional </w:t>
      </w:r>
      <w:r w:rsidR="00B15BB1">
        <w:t xml:space="preserve">separation between magistrate proceedings and trial court proceedings is </w:t>
      </w:r>
      <w:r w:rsidR="00BF1FD2">
        <w:t>“</w:t>
      </w:r>
      <w:r w:rsidR="00BF1FD2" w:rsidRPr="00BF1FD2">
        <w:t>not</w:t>
      </w:r>
      <w:r w:rsidR="001454AC">
        <w:t xml:space="preserve"> </w:t>
      </w:r>
      <w:r w:rsidR="00BF1FD2" w:rsidRPr="00BF1FD2">
        <w:t>unassailable</w:t>
      </w:r>
      <w:r w:rsidR="00BF1FD2">
        <w:t>”</w:t>
      </w:r>
      <w:r w:rsidR="000A6022">
        <w:t xml:space="preserve"> </w:t>
      </w:r>
      <w:r w:rsidR="00754C07">
        <w:t>(</w:t>
      </w:r>
      <w:r w:rsidR="00754C07" w:rsidRPr="00754C07">
        <w:rPr>
          <w:i/>
          <w:iCs/>
        </w:rPr>
        <w:t>id</w:t>
      </w:r>
      <w:r w:rsidR="00754C07">
        <w:t>. at p. 13)</w:t>
      </w:r>
      <w:r w:rsidR="00C83260" w:rsidRPr="00C83260">
        <w:t xml:space="preserve">, and it cites a long list of authorities </w:t>
      </w:r>
      <w:r w:rsidR="0028468E">
        <w:t xml:space="preserve">in an effort </w:t>
      </w:r>
      <w:r w:rsidR="00C83260" w:rsidRPr="00C83260">
        <w:t>t</w:t>
      </w:r>
      <w:r w:rsidR="0028468E">
        <w:t>o</w:t>
      </w:r>
      <w:r w:rsidR="00C83260" w:rsidRPr="00C83260">
        <w:t xml:space="preserve"> support </w:t>
      </w:r>
      <w:r w:rsidR="00A82A7B">
        <w:t xml:space="preserve">this proposition </w:t>
      </w:r>
      <w:r w:rsidR="00C83260" w:rsidRPr="00C83260">
        <w:t>(</w:t>
      </w:r>
      <w:r w:rsidR="00C83260" w:rsidRPr="00C83260">
        <w:rPr>
          <w:i/>
          <w:iCs/>
        </w:rPr>
        <w:t>id</w:t>
      </w:r>
      <w:r w:rsidR="00C83260" w:rsidRPr="00C83260">
        <w:t xml:space="preserve">. at pp. 13–14 </w:t>
      </w:r>
      <w:r w:rsidR="00581834">
        <w:t>&amp;</w:t>
      </w:r>
      <w:r w:rsidR="00C83260" w:rsidRPr="00C83260">
        <w:t xml:space="preserve"> 14</w:t>
      </w:r>
      <w:r w:rsidR="000F23B8">
        <w:t>–15</w:t>
      </w:r>
      <w:r w:rsidR="00C83260" w:rsidRPr="00C83260">
        <w:t>, fn.</w:t>
      </w:r>
      <w:r w:rsidR="00C83260">
        <w:t> </w:t>
      </w:r>
      <w:r w:rsidR="00C83260" w:rsidRPr="00C83260">
        <w:t>4)</w:t>
      </w:r>
      <w:r w:rsidR="000A6022">
        <w:t>.</w:t>
      </w:r>
      <w:r w:rsidRPr="002A27D0">
        <w:t xml:space="preserve">  </w:t>
      </w:r>
      <w:r w:rsidR="00D20FF4" w:rsidRPr="00D20FF4">
        <w:t>But the purpose of the threshold</w:t>
      </w:r>
      <w:r w:rsidR="0055022B">
        <w:t xml:space="preserve"> </w:t>
      </w:r>
      <w:r w:rsidR="00F00941">
        <w:t>proceeding</w:t>
      </w:r>
      <w:r w:rsidR="00D410B3">
        <w:t xml:space="preserve"> </w:t>
      </w:r>
      <w:r w:rsidR="0055022B">
        <w:t xml:space="preserve">in front of the magistrate </w:t>
      </w:r>
      <w:r w:rsidR="00D20FF4" w:rsidRPr="00D20FF4">
        <w:t>is to protect individuals from the arbitrary exercise of governmental power.  (</w:t>
      </w:r>
      <w:r w:rsidR="00D20FF4" w:rsidRPr="00D20FF4">
        <w:rPr>
          <w:i/>
          <w:iCs/>
        </w:rPr>
        <w:t>Hurtado</w:t>
      </w:r>
      <w:r w:rsidR="00D20FF4" w:rsidRPr="00D20FF4">
        <w:t xml:space="preserve">, </w:t>
      </w:r>
      <w:r w:rsidR="00D20FF4" w:rsidRPr="00D20FF4">
        <w:rPr>
          <w:i/>
          <w:iCs/>
        </w:rPr>
        <w:t>supra</w:t>
      </w:r>
      <w:r w:rsidR="00D20FF4" w:rsidRPr="00D20FF4">
        <w:t xml:space="preserve">, 110 U.S. at p. 527.)  </w:t>
      </w:r>
      <w:r w:rsidR="009549BA">
        <w:t xml:space="preserve">We do not think the word “technical” properly </w:t>
      </w:r>
      <w:r w:rsidR="00D20FF4">
        <w:t xml:space="preserve">characterizes </w:t>
      </w:r>
      <w:r w:rsidR="009549BA">
        <w:t xml:space="preserve">the high court’s important due process holding in </w:t>
      </w:r>
      <w:r w:rsidR="009549BA" w:rsidRPr="005607E0">
        <w:rPr>
          <w:i/>
          <w:iCs/>
        </w:rPr>
        <w:t>Hurtado</w:t>
      </w:r>
      <w:r w:rsidR="009549BA">
        <w:t xml:space="preserve">. </w:t>
      </w:r>
      <w:r w:rsidR="001779FA">
        <w:t xml:space="preserve"> </w:t>
      </w:r>
      <w:r w:rsidR="009549BA">
        <w:t>And, b</w:t>
      </w:r>
      <w:r w:rsidR="00BF1FD2">
        <w:t xml:space="preserve">y suggesting that there is </w:t>
      </w:r>
      <w:r w:rsidR="00754C07">
        <w:t xml:space="preserve">only </w:t>
      </w:r>
      <w:r w:rsidR="00BF1FD2">
        <w:t xml:space="preserve">one continuous </w:t>
      </w:r>
      <w:r w:rsidR="00FA1EC7">
        <w:t xml:space="preserve">court </w:t>
      </w:r>
      <w:r w:rsidR="00547937">
        <w:t xml:space="preserve">proceeding </w:t>
      </w:r>
      <w:r w:rsidR="00BF1FD2">
        <w:t xml:space="preserve">that begins with </w:t>
      </w:r>
      <w:r w:rsidR="001D0439">
        <w:t>the</w:t>
      </w:r>
      <w:r w:rsidR="000A6022">
        <w:t xml:space="preserve"> </w:t>
      </w:r>
      <w:r w:rsidR="001D0439">
        <w:t xml:space="preserve">filing of </w:t>
      </w:r>
      <w:r w:rsidR="00BF1FD2">
        <w:t xml:space="preserve">a felony complaint and ends with a trial, the dissent </w:t>
      </w:r>
      <w:r w:rsidR="00BE3100">
        <w:t xml:space="preserve">casts </w:t>
      </w:r>
      <w:r w:rsidR="00BF1FD2">
        <w:t xml:space="preserve">doubt on </w:t>
      </w:r>
      <w:r w:rsidR="00C42EBB">
        <w:t xml:space="preserve">the reasoning of </w:t>
      </w:r>
      <w:r w:rsidR="001D0439" w:rsidRPr="001D0439">
        <w:rPr>
          <w:i/>
          <w:iCs/>
        </w:rPr>
        <w:t>Koski v. James</w:t>
      </w:r>
      <w:r w:rsidR="001D0439" w:rsidRPr="001D0439">
        <w:t xml:space="preserve">, </w:t>
      </w:r>
      <w:r w:rsidR="001D0439" w:rsidRPr="001D0439">
        <w:rPr>
          <w:i/>
          <w:iCs/>
        </w:rPr>
        <w:t>supra</w:t>
      </w:r>
      <w:r w:rsidR="001D0439">
        <w:t xml:space="preserve">, </w:t>
      </w:r>
      <w:r w:rsidR="001D0439" w:rsidRPr="001D0439">
        <w:t>47 Cal.App.3d 349</w:t>
      </w:r>
      <w:r w:rsidR="00547937">
        <w:t xml:space="preserve">, </w:t>
      </w:r>
      <w:r w:rsidR="00754C07">
        <w:t xml:space="preserve">but </w:t>
      </w:r>
      <w:r w:rsidR="00EC0453">
        <w:t xml:space="preserve">it </w:t>
      </w:r>
      <w:r w:rsidR="009549BA">
        <w:t xml:space="preserve">fails to </w:t>
      </w:r>
      <w:r w:rsidR="00754C07">
        <w:t xml:space="preserve">explain why </w:t>
      </w:r>
      <w:r w:rsidR="00754C07" w:rsidRPr="00754C07">
        <w:rPr>
          <w:i/>
          <w:iCs/>
        </w:rPr>
        <w:t>Koski v. James</w:t>
      </w:r>
      <w:r w:rsidR="00754C07">
        <w:t xml:space="preserve"> is wrong</w:t>
      </w:r>
      <w:r w:rsidR="00E66CB0">
        <w:t>.</w:t>
      </w:r>
    </w:p>
  </w:footnote>
  <w:footnote w:id="12">
    <w:p w14:paraId="27C5A41C" w14:textId="294B1A8A" w:rsidR="00F14D1F" w:rsidRDefault="00F14D1F" w:rsidP="0047127A">
      <w:pPr>
        <w:pStyle w:val="FootnoteText"/>
      </w:pPr>
      <w:r>
        <w:rPr>
          <w:rStyle w:val="FootnoteReference"/>
        </w:rPr>
        <w:footnoteRef/>
      </w:r>
      <w:r>
        <w:t xml:space="preserve"> </w:t>
      </w:r>
      <w:r>
        <w:tab/>
        <w:t>It is true that under section 739, “</w:t>
      </w:r>
      <w:r w:rsidRPr="00FC1D07">
        <w:t>an information</w:t>
      </w:r>
      <w:r>
        <w:t xml:space="preserve"> . . . </w:t>
      </w:r>
      <w:r w:rsidRPr="00FC1D07">
        <w:t>may charge the defendant wi</w:t>
      </w:r>
      <w:r w:rsidRPr="00642EC0">
        <w:t>th . . . any offense or offenses shown by the evidence taken before the magistrate to have been committed</w:t>
      </w:r>
      <w:r>
        <w:t>,</w:t>
      </w:r>
      <w:r w:rsidRPr="00642EC0">
        <w:t>”</w:t>
      </w:r>
      <w:r>
        <w:t xml:space="preserve"> and therefore after the preliminary hearing, the district attorney can charge new offenses and even offenses rejected by the magistrate.  But the law “does not permit the district attorney to ignore material factual findings of the magistrate.”  (</w:t>
      </w:r>
      <w:r w:rsidRPr="00E07CBA">
        <w:rPr>
          <w:i/>
          <w:iCs/>
        </w:rPr>
        <w:t>Jones v. Superior Court</w:t>
      </w:r>
      <w:r w:rsidRPr="00E07CBA">
        <w:t xml:space="preserve">, </w:t>
      </w:r>
      <w:r w:rsidRPr="00E07CBA">
        <w:rPr>
          <w:i/>
          <w:iCs/>
        </w:rPr>
        <w:t>supra</w:t>
      </w:r>
      <w:r>
        <w:t xml:space="preserve">, 4 Cal.3d at p. 666; see </w:t>
      </w:r>
      <w:r w:rsidRPr="00642EC0">
        <w:rPr>
          <w:i/>
          <w:iCs/>
        </w:rPr>
        <w:t>id</w:t>
      </w:r>
      <w:r>
        <w:t>. at pp. 666–668.)</w:t>
      </w:r>
    </w:p>
  </w:footnote>
  <w:footnote w:id="13">
    <w:p w14:paraId="1B51EBE5" w14:textId="360CF5FE" w:rsidR="00EB62FA" w:rsidRPr="00227629" w:rsidRDefault="00EB62FA" w:rsidP="003550A3">
      <w:pPr>
        <w:pStyle w:val="FootnoteText"/>
      </w:pPr>
      <w:r>
        <w:rPr>
          <w:rStyle w:val="FootnoteReference"/>
        </w:rPr>
        <w:footnoteRef/>
      </w:r>
      <w:r>
        <w:t xml:space="preserve"> </w:t>
      </w:r>
      <w:r>
        <w:tab/>
      </w:r>
      <w:r w:rsidR="00DD5DF1">
        <w:t>Before 1927, section 954 applied exclusively to court proceedings</w:t>
      </w:r>
      <w:r w:rsidR="00F8348E">
        <w:t xml:space="preserve">.  </w:t>
      </w:r>
      <w:r w:rsidR="00DD5DF1" w:rsidRPr="00DD5DF1">
        <w:t xml:space="preserve">In 1927, </w:t>
      </w:r>
      <w:r w:rsidR="00F8348E">
        <w:t xml:space="preserve">however, </w:t>
      </w:r>
      <w:r w:rsidR="00B71DE4">
        <w:t xml:space="preserve">section 954’s </w:t>
      </w:r>
      <w:r w:rsidR="00DD5DF1">
        <w:t xml:space="preserve">joinder clause </w:t>
      </w:r>
      <w:r w:rsidR="00DD5DF1" w:rsidRPr="00DD5DF1">
        <w:t>was amended to replace “indictment or information” (Stats.</w:t>
      </w:r>
      <w:r w:rsidR="00F8348E">
        <w:t> </w:t>
      </w:r>
      <w:r w:rsidR="00DD5DF1" w:rsidRPr="00DD5DF1">
        <w:t>1915, ch.</w:t>
      </w:r>
      <w:r w:rsidR="00F8348E">
        <w:t> </w:t>
      </w:r>
      <w:r w:rsidR="00DD5DF1" w:rsidRPr="00DD5DF1">
        <w:t>452, §</w:t>
      </w:r>
      <w:r w:rsidR="00F8348E">
        <w:t> </w:t>
      </w:r>
      <w:r w:rsidR="00DD5DF1" w:rsidRPr="00DD5DF1">
        <w:t>1, p.</w:t>
      </w:r>
      <w:r w:rsidR="00F8348E">
        <w:t> </w:t>
      </w:r>
      <w:r w:rsidR="00DD5DF1" w:rsidRPr="00DD5DF1">
        <w:t xml:space="preserve">744) with “indictment, information, </w:t>
      </w:r>
      <w:r w:rsidR="00DD5DF1" w:rsidRPr="00DD5DF1">
        <w:rPr>
          <w:i/>
          <w:iCs/>
        </w:rPr>
        <w:t>or complaint</w:t>
      </w:r>
      <w:r w:rsidR="00DD5DF1" w:rsidRPr="00DD5DF1">
        <w:t>” (Stats.</w:t>
      </w:r>
      <w:r w:rsidR="00F8348E">
        <w:t> </w:t>
      </w:r>
      <w:r w:rsidR="00DD5DF1" w:rsidRPr="00DD5DF1">
        <w:t>1927, ch.</w:t>
      </w:r>
      <w:r w:rsidR="00F8348E">
        <w:t> </w:t>
      </w:r>
      <w:r w:rsidR="00DD5DF1" w:rsidRPr="00DD5DF1">
        <w:t>611, §</w:t>
      </w:r>
      <w:r w:rsidR="00F8348E">
        <w:t> </w:t>
      </w:r>
      <w:r w:rsidR="00DD5DF1" w:rsidRPr="00DD5DF1">
        <w:t>1, p.</w:t>
      </w:r>
      <w:r w:rsidR="00F8348E">
        <w:t> </w:t>
      </w:r>
      <w:r w:rsidR="00DD5DF1" w:rsidRPr="00DD5DF1">
        <w:t>1042</w:t>
      </w:r>
      <w:r w:rsidR="00DD5DF1">
        <w:t xml:space="preserve">, italics added), thus making </w:t>
      </w:r>
      <w:r w:rsidR="00F8348E">
        <w:t xml:space="preserve">the </w:t>
      </w:r>
      <w:r w:rsidR="00DD5DF1">
        <w:t>joinder clause</w:t>
      </w:r>
      <w:r w:rsidR="00B56CB9">
        <w:t xml:space="preserve"> </w:t>
      </w:r>
      <w:r w:rsidR="00DD5DF1">
        <w:t xml:space="preserve">applicable to </w:t>
      </w:r>
      <w:r w:rsidR="00B71DE4">
        <w:t>magistrate</w:t>
      </w:r>
      <w:r w:rsidR="00B501E6">
        <w:t xml:space="preserve"> pleadings</w:t>
      </w:r>
      <w:r w:rsidR="00F8348E">
        <w:t>.  B</w:t>
      </w:r>
      <w:r w:rsidR="00B71DE4">
        <w:t xml:space="preserve">ut nothing about that </w:t>
      </w:r>
      <w:r w:rsidR="00BD76D4">
        <w:t xml:space="preserve">change </w:t>
      </w:r>
      <w:r w:rsidR="00B71DE4">
        <w:t>suggest</w:t>
      </w:r>
      <w:r w:rsidR="00581834">
        <w:t xml:space="preserve">s </w:t>
      </w:r>
      <w:r w:rsidR="00B71DE4">
        <w:t xml:space="preserve">an intent to restrict </w:t>
      </w:r>
      <w:r w:rsidR="00EC358C">
        <w:t xml:space="preserve">the already existing power to join related offenses in </w:t>
      </w:r>
      <w:r w:rsidR="00F8348E">
        <w:t xml:space="preserve">court pleadings, </w:t>
      </w:r>
      <w:r w:rsidR="001E4692">
        <w:t xml:space="preserve">or to make </w:t>
      </w:r>
      <w:r w:rsidR="00B71DE4">
        <w:t xml:space="preserve">joinder at the information stage dependent on </w:t>
      </w:r>
      <w:r w:rsidR="00F8348E">
        <w:t xml:space="preserve">a prior </w:t>
      </w:r>
      <w:r w:rsidR="00B71DE4">
        <w:t>joinder at the complaint stage</w:t>
      </w:r>
      <w:r w:rsidR="00DD5DF1">
        <w:t>.</w:t>
      </w:r>
      <w:r w:rsidR="003550A3">
        <w:t xml:space="preserve">  </w:t>
      </w:r>
      <w:r w:rsidR="00F909A1">
        <w:t xml:space="preserve">The dissent expresses concern about the authority of magistrates to consolidate complaints </w:t>
      </w:r>
      <w:r w:rsidR="00FB4169">
        <w:t xml:space="preserve">under </w:t>
      </w:r>
      <w:r w:rsidR="00F909A1">
        <w:t>section 954’s consolidation clause, which only refers to the “court</w:t>
      </w:r>
      <w:r w:rsidR="0006466D">
        <w:t>.</w:t>
      </w:r>
      <w:r w:rsidR="00F909A1">
        <w:t>”</w:t>
      </w:r>
      <w:r w:rsidR="0006466D">
        <w:t xml:space="preserve">  </w:t>
      </w:r>
      <w:r w:rsidR="00F909A1">
        <w:t>(</w:t>
      </w:r>
      <w:r w:rsidR="00FB4169">
        <w:t>§ 954; s</w:t>
      </w:r>
      <w:r w:rsidR="00F909A1">
        <w:t xml:space="preserve">ee dis. opn. of Kruger, J., </w:t>
      </w:r>
      <w:r w:rsidR="00F909A1" w:rsidRPr="00F909A1">
        <w:rPr>
          <w:i/>
          <w:iCs/>
        </w:rPr>
        <w:t>post</w:t>
      </w:r>
      <w:r w:rsidR="00F909A1">
        <w:t xml:space="preserve">, pp. 14–15, fn. 4.)  That issue is not before us, and </w:t>
      </w:r>
      <w:r w:rsidR="00F909A1" w:rsidRPr="00F909A1">
        <w:t>nothing in our opinion should be read to suggest that we have decided the issue</w:t>
      </w:r>
      <w:r w:rsidR="00FB4169">
        <w:t>.</w:t>
      </w:r>
    </w:p>
  </w:footnote>
  <w:footnote w:id="14">
    <w:p w14:paraId="745503A1" w14:textId="7905EAC9" w:rsidR="00664597" w:rsidRDefault="00664597" w:rsidP="00664597">
      <w:pPr>
        <w:pStyle w:val="FootnoteText"/>
      </w:pPr>
      <w:r>
        <w:rPr>
          <w:rStyle w:val="FootnoteReference"/>
        </w:rPr>
        <w:footnoteRef/>
      </w:r>
      <w:r>
        <w:t xml:space="preserve"> </w:t>
      </w:r>
      <w:r>
        <w:tab/>
        <w:t xml:space="preserve">The dissent frequently refers to the consolidation of </w:t>
      </w:r>
      <w:r w:rsidRPr="00677C41">
        <w:rPr>
          <w:i/>
          <w:iCs/>
        </w:rPr>
        <w:t>charges</w:t>
      </w:r>
      <w:r>
        <w:t xml:space="preserve">, arguing that here the district attorney was able to consolidate charges without the requisite court permission.  (See dis. opn. of Kruger, J., </w:t>
      </w:r>
      <w:r w:rsidRPr="00DA0873">
        <w:rPr>
          <w:i/>
          <w:iCs/>
        </w:rPr>
        <w:t>post</w:t>
      </w:r>
      <w:r>
        <w:t>, pp. 1–</w:t>
      </w:r>
      <w:r w:rsidR="009E5E69">
        <w:t>7</w:t>
      </w:r>
      <w:r>
        <w:t xml:space="preserve">, </w:t>
      </w:r>
      <w:r w:rsidR="000F23B8">
        <w:t>10</w:t>
      </w:r>
      <w:r w:rsidR="00685270">
        <w:t>–</w:t>
      </w:r>
      <w:r>
        <w:t>11</w:t>
      </w:r>
      <w:r w:rsidR="000F23B8">
        <w:t>, 17</w:t>
      </w:r>
      <w:r>
        <w:t xml:space="preserve">.)  </w:t>
      </w:r>
      <w:r w:rsidR="00B15BB1">
        <w:t>We disagree</w:t>
      </w:r>
      <w:r>
        <w:t xml:space="preserve">.  Section 954 does not discuss the consolidation of “charges”; rather, it discusses the consolidation of “pleadings” filed in </w:t>
      </w:r>
      <w:r w:rsidR="001706CD">
        <w:t xml:space="preserve">a </w:t>
      </w:r>
      <w:r>
        <w:t>“court,” requiring court permission</w:t>
      </w:r>
      <w:r w:rsidR="00677C41">
        <w:t xml:space="preserve"> to do so</w:t>
      </w:r>
      <w:r>
        <w:t xml:space="preserve">.  But </w:t>
      </w:r>
      <w:r w:rsidRPr="00EE1F8D">
        <w:t>magistrate</w:t>
      </w:r>
      <w:r>
        <w:t xml:space="preserve"> proceedings are </w:t>
      </w:r>
      <w:r w:rsidR="00BE3100">
        <w:t xml:space="preserve">not </w:t>
      </w:r>
      <w:r>
        <w:t>court proceedings</w:t>
      </w:r>
      <w:r w:rsidR="00F66F97">
        <w:t xml:space="preserve"> — </w:t>
      </w:r>
      <w:r>
        <w:t>a point the dissent discounts (see</w:t>
      </w:r>
      <w:r w:rsidR="00F66F97">
        <w:t xml:space="preserve"> </w:t>
      </w:r>
      <w:r>
        <w:t>pp. 18–19, fn. 10</w:t>
      </w:r>
      <w:r w:rsidR="00F66F97">
        <w:t xml:space="preserve">, </w:t>
      </w:r>
      <w:r w:rsidR="00F66F97" w:rsidRPr="00F66F97">
        <w:rPr>
          <w:i/>
          <w:iCs/>
        </w:rPr>
        <w:t>ante</w:t>
      </w:r>
      <w:r w:rsidR="00BE3100">
        <w:t>)</w:t>
      </w:r>
      <w:r w:rsidR="00F80C87">
        <w:t> </w:t>
      </w:r>
      <w:r w:rsidR="00F66F97">
        <w:t xml:space="preserve">— </w:t>
      </w:r>
      <w:r>
        <w:t xml:space="preserve">and if no pleadings have been filed in </w:t>
      </w:r>
      <w:r w:rsidR="001706CD">
        <w:t xml:space="preserve">a </w:t>
      </w:r>
      <w:r>
        <w:t xml:space="preserve">court, then there </w:t>
      </w:r>
      <w:r w:rsidR="00F80C87">
        <w:t xml:space="preserve">is </w:t>
      </w:r>
      <w:r>
        <w:t xml:space="preserve">no </w:t>
      </w:r>
      <w:r w:rsidR="00AB627D">
        <w:t xml:space="preserve">pending </w:t>
      </w:r>
      <w:r>
        <w:t xml:space="preserve">court </w:t>
      </w:r>
      <w:r w:rsidR="00677C41">
        <w:t>proceeding</w:t>
      </w:r>
      <w:r w:rsidR="00F80C87">
        <w:t xml:space="preserve"> and </w:t>
      </w:r>
      <w:r>
        <w:t xml:space="preserve">nothing </w:t>
      </w:r>
      <w:r w:rsidR="001706CD">
        <w:t xml:space="preserve">for </w:t>
      </w:r>
      <w:r w:rsidR="00BE3100">
        <w:t>a</w:t>
      </w:r>
      <w:r w:rsidR="001706CD">
        <w:t xml:space="preserve"> court </w:t>
      </w:r>
      <w:r>
        <w:t xml:space="preserve">to consolidate.  </w:t>
      </w:r>
      <w:r w:rsidR="00B15BB1">
        <w:t xml:space="preserve">Of course, </w:t>
      </w:r>
      <w:r w:rsidR="00F80C87">
        <w:t>once the first pleading is filed in a court, a court proceeding begins</w:t>
      </w:r>
      <w:r>
        <w:t xml:space="preserve">, </w:t>
      </w:r>
      <w:r w:rsidR="001706CD">
        <w:t xml:space="preserve">but </w:t>
      </w:r>
      <w:r>
        <w:t>at that point, section 954’s joinder clause (not its consolidation clause) comes into play, allowing the joinder of any appropriately related offenses, and not requiring court permission</w:t>
      </w:r>
      <w:r w:rsidR="00677C41">
        <w:t xml:space="preserve"> to do so</w:t>
      </w:r>
      <w:r>
        <w:t>.</w:t>
      </w:r>
    </w:p>
  </w:footnote>
  <w:footnote w:id="15">
    <w:p w14:paraId="10AAC856" w14:textId="6DB124E7" w:rsidR="00621092" w:rsidRDefault="00621092" w:rsidP="0047127A">
      <w:pPr>
        <w:pStyle w:val="FootnoteText"/>
      </w:pPr>
      <w:r>
        <w:rPr>
          <w:rStyle w:val="FootnoteReference"/>
        </w:rPr>
        <w:footnoteRef/>
      </w:r>
      <w:r>
        <w:t xml:space="preserve"> </w:t>
      </w:r>
      <w:r>
        <w:tab/>
      </w:r>
      <w:r w:rsidR="00A01098">
        <w:t xml:space="preserve">In </w:t>
      </w:r>
      <w:r w:rsidR="00A01098" w:rsidRPr="00A01098">
        <w:rPr>
          <w:i/>
          <w:iCs/>
        </w:rPr>
        <w:t>Kellett</w:t>
      </w:r>
      <w:r>
        <w:t>, t</w:t>
      </w:r>
      <w:r w:rsidRPr="002D511D">
        <w:t xml:space="preserve">his court </w:t>
      </w:r>
      <w:r>
        <w:t>recognized an</w:t>
      </w:r>
      <w:r w:rsidR="00A01098">
        <w:t xml:space="preserve"> e</w:t>
      </w:r>
      <w:r>
        <w:t xml:space="preserve">xception to </w:t>
      </w:r>
      <w:r w:rsidR="00A01098">
        <w:t>th</w:t>
      </w:r>
      <w:r w:rsidR="00152DD2">
        <w:t>is</w:t>
      </w:r>
      <w:r w:rsidR="00A01098">
        <w:t xml:space="preserve"> jurisdictional boundary</w:t>
      </w:r>
      <w:r>
        <w:t xml:space="preserve">.  </w:t>
      </w:r>
      <w:r w:rsidR="00A01098">
        <w:t>W</w:t>
      </w:r>
      <w:r>
        <w:t>e said:  “Section 954 . . . author</w:t>
      </w:r>
      <w:r w:rsidRPr="009C1B1E">
        <w:t xml:space="preserve">izes the </w:t>
      </w:r>
      <w:r w:rsidRPr="006460C4">
        <w:rPr>
          <w:i/>
          <w:iCs/>
        </w:rPr>
        <w:t>joinder</w:t>
      </w:r>
      <w:r w:rsidRPr="009C1B1E">
        <w:t xml:space="preserve"> of a mi</w:t>
      </w:r>
      <w:r>
        <w:t>sdemeanor count and a felony count in a prosecution in the superior court.”  (</w:t>
      </w:r>
      <w:r w:rsidRPr="00B43239">
        <w:rPr>
          <w:i/>
          <w:iCs/>
        </w:rPr>
        <w:t>Kellett v. Superior Court of Sacramento County</w:t>
      </w:r>
      <w:r w:rsidRPr="002D511D">
        <w:t xml:space="preserve"> (1966) 63 Cal.2d 822</w:t>
      </w:r>
      <w:r>
        <w:t>, 826, fn. 3</w:t>
      </w:r>
      <w:r w:rsidR="00A01098">
        <w:t>, italics added</w:t>
      </w:r>
      <w:r>
        <w:t xml:space="preserve">; see </w:t>
      </w:r>
      <w:r w:rsidRPr="00B43239">
        <w:rPr>
          <w:i/>
          <w:iCs/>
        </w:rPr>
        <w:t>In re McKinney</w:t>
      </w:r>
      <w:r>
        <w:t xml:space="preserve">, </w:t>
      </w:r>
      <w:r w:rsidRPr="00C24DE3">
        <w:rPr>
          <w:i/>
          <w:iCs/>
        </w:rPr>
        <w:t>supra</w:t>
      </w:r>
      <w:r>
        <w:t xml:space="preserve">, 70 Cal.2d at p. 13 [recognizing the superior court’s jurisdiction to adjudicate a joined misdemeanor count].)  This exception, based on the </w:t>
      </w:r>
      <w:r w:rsidRPr="004C3669">
        <w:rPr>
          <w:i/>
          <w:iCs/>
        </w:rPr>
        <w:t>joinder</w:t>
      </w:r>
      <w:r>
        <w:t xml:space="preserve"> clause of section 954, did not change the rule that a court could only </w:t>
      </w:r>
      <w:r w:rsidRPr="00152DD2">
        <w:rPr>
          <w:i/>
          <w:iCs/>
        </w:rPr>
        <w:t>consolidate</w:t>
      </w:r>
      <w:r>
        <w:t xml:space="preserve"> pleadings filed “in the same court” (§ 954), meaning that the superior court could not consolidate a municipal court complaint with a superior court information.</w:t>
      </w:r>
    </w:p>
  </w:footnote>
  <w:footnote w:id="16">
    <w:p w14:paraId="432461F0" w14:textId="1314C2F8" w:rsidR="00312B24" w:rsidRDefault="00312B24" w:rsidP="0047127A">
      <w:pPr>
        <w:pStyle w:val="FootnoteText"/>
      </w:pPr>
      <w:r>
        <w:rPr>
          <w:rStyle w:val="FootnoteReference"/>
        </w:rPr>
        <w:footnoteRef/>
      </w:r>
      <w:r>
        <w:t xml:space="preserve"> </w:t>
      </w:r>
      <w:r w:rsidR="00060475">
        <w:tab/>
      </w:r>
      <w:r w:rsidR="00F52CB5">
        <w:t>T</w:t>
      </w:r>
      <w:r>
        <w:t xml:space="preserve">his case is not the first in which </w:t>
      </w:r>
      <w:r w:rsidRPr="00312B24">
        <w:t>a district attorney has filed a single information joining charges from separate complaints.</w:t>
      </w:r>
      <w:r w:rsidR="00F52CB5">
        <w:t xml:space="preserve">  (See </w:t>
      </w:r>
      <w:r w:rsidRPr="00F52CB5">
        <w:rPr>
          <w:i/>
          <w:iCs/>
        </w:rPr>
        <w:t>People v. Lopez</w:t>
      </w:r>
      <w:r>
        <w:t xml:space="preserve"> (</w:t>
      </w:r>
      <w:r w:rsidRPr="00C62CB0">
        <w:t xml:space="preserve">July 23, 2010, A124818) </w:t>
      </w:r>
      <w:r w:rsidR="00C62CB0">
        <w:t>[nonpub. opn.]</w:t>
      </w:r>
      <w:r w:rsidR="00F52CB5" w:rsidRPr="00C62CB0">
        <w:t xml:space="preserve">; </w:t>
      </w:r>
      <w:r w:rsidRPr="00C62CB0">
        <w:rPr>
          <w:i/>
          <w:iCs/>
        </w:rPr>
        <w:t>People v. Brewton</w:t>
      </w:r>
      <w:r w:rsidRPr="00C62CB0">
        <w:t xml:space="preserve"> (July 11, 2002, F036610) </w:t>
      </w:r>
      <w:r w:rsidR="00C62CB0">
        <w:t>[nonpub. opn.]</w:t>
      </w:r>
      <w:r w:rsidR="00F52CB5" w:rsidRPr="00C62CB0">
        <w:t xml:space="preserve">; see also </w:t>
      </w:r>
      <w:r w:rsidRPr="00C62CB0">
        <w:rPr>
          <w:i/>
          <w:iCs/>
        </w:rPr>
        <w:t>People v. Cooper</w:t>
      </w:r>
      <w:r w:rsidRPr="00C62CB0">
        <w:t xml:space="preserve"> (July 30, 2014, A139419) </w:t>
      </w:r>
      <w:r w:rsidR="00C62CB0">
        <w:t>[nonpub. opn.]</w:t>
      </w:r>
      <w:r w:rsidRPr="00C62CB0">
        <w:t>.</w:t>
      </w:r>
      <w:r w:rsidR="00F52CB5">
        <w:t xml:space="preserve">)  The decisions in these </w:t>
      </w:r>
      <w:r w:rsidR="000036CF">
        <w:t xml:space="preserve">other </w:t>
      </w:r>
      <w:r w:rsidR="00F52CB5">
        <w:t>cases are not published in the official reports, but without treating them as legal precedent, we may take judicial notice of their statements</w:t>
      </w:r>
      <w:r w:rsidR="00096EED">
        <w:t xml:space="preserve"> of fact</w:t>
      </w:r>
      <w:r w:rsidR="00F52CB5">
        <w:t xml:space="preserve">.  (See </w:t>
      </w:r>
      <w:r w:rsidR="00F52CB5" w:rsidRPr="00B876BF">
        <w:rPr>
          <w:i/>
          <w:iCs/>
        </w:rPr>
        <w:t>People v. Hill</w:t>
      </w:r>
      <w:r w:rsidR="00F52CB5">
        <w:t xml:space="preserve"> (1998) 17 Cal.4th 800, 847, fn. 9.)</w:t>
      </w:r>
    </w:p>
  </w:footnote>
  <w:footnote w:id="17">
    <w:p w14:paraId="7955598E" w14:textId="50FB9004" w:rsidR="00621092" w:rsidRDefault="00621092" w:rsidP="0047127A">
      <w:pPr>
        <w:pStyle w:val="FootnoteText"/>
      </w:pPr>
      <w:r>
        <w:rPr>
          <w:rStyle w:val="FootnoteReference"/>
        </w:rPr>
        <w:footnoteRef/>
      </w:r>
      <w:r>
        <w:t xml:space="preserve"> </w:t>
      </w:r>
      <w:r>
        <w:tab/>
        <w:t xml:space="preserve">Because court unification was optional, some counties continued to have a two-tiered court system during the years immediately following approval of Proposition 220 in 1998, and therefore the changes made to state law to facilitate court unification did not include deletion of the </w:t>
      </w:r>
      <w:r w:rsidR="00DC215F">
        <w:t xml:space="preserve">phrase </w:t>
      </w:r>
      <w:r>
        <w:t xml:space="preserve">“in the same court” from section 954.  In counties that continued to have both municipal and superior courts, the phrase “in the same court” had the same meaning it </w:t>
      </w:r>
      <w:r w:rsidR="00D84DE0">
        <w:t xml:space="preserve">had </w:t>
      </w:r>
      <w:r>
        <w:t xml:space="preserve">always had, preserving the jurisdictional boundaries between the two court levels.  By 2002, however, all California counties had unified their courts.  At that point, </w:t>
      </w:r>
      <w:r w:rsidR="00DC215F">
        <w:t xml:space="preserve">section 954’s use of </w:t>
      </w:r>
      <w:r>
        <w:t xml:space="preserve">the </w:t>
      </w:r>
      <w:r w:rsidR="00DC215F">
        <w:t xml:space="preserve">phrase </w:t>
      </w:r>
      <w:r>
        <w:t xml:space="preserve">“in the same court” became </w:t>
      </w:r>
      <w:r w:rsidR="008A0055">
        <w:t>surplusage</w:t>
      </w:r>
      <w:r>
        <w:t>.</w:t>
      </w:r>
    </w:p>
  </w:footnote>
  <w:footnote w:id="18">
    <w:p w14:paraId="1721BF92" w14:textId="6623F0FA" w:rsidR="001706CD" w:rsidRDefault="001706CD" w:rsidP="001706CD">
      <w:pPr>
        <w:pStyle w:val="FootnoteText"/>
      </w:pPr>
      <w:r>
        <w:rPr>
          <w:rStyle w:val="FootnoteReference"/>
        </w:rPr>
        <w:footnoteRef/>
      </w:r>
      <w:r>
        <w:t xml:space="preserve"> </w:t>
      </w:r>
      <w:r>
        <w:tab/>
        <w:t xml:space="preserve">Many of the arguments made by the dissent in the Court of Appeal are adopted by the dissent in the present court, and our critique of </w:t>
      </w:r>
      <w:r w:rsidR="00AB627D">
        <w:t xml:space="preserve">the </w:t>
      </w:r>
      <w:r w:rsidR="00BE3100">
        <w:t xml:space="preserve">one </w:t>
      </w:r>
      <w:r>
        <w:t xml:space="preserve">applies, </w:t>
      </w:r>
      <w:r w:rsidRPr="001706CD">
        <w:rPr>
          <w:i/>
          <w:iCs/>
        </w:rPr>
        <w:t>mutatis mutandis</w:t>
      </w:r>
      <w:r>
        <w:t xml:space="preserve">, to the </w:t>
      </w:r>
      <w:r w:rsidR="00BE3100">
        <w:t>other</w:t>
      </w:r>
      <w:r>
        <w:t>.</w:t>
      </w:r>
    </w:p>
  </w:footnote>
  <w:footnote w:id="19">
    <w:p w14:paraId="13FEB717" w14:textId="5B3CCF0C" w:rsidR="00621092" w:rsidRDefault="00621092" w:rsidP="0047127A">
      <w:pPr>
        <w:pStyle w:val="FootnoteText"/>
      </w:pPr>
      <w:r>
        <w:rPr>
          <w:rStyle w:val="FootnoteReference"/>
        </w:rPr>
        <w:footnoteRef/>
      </w:r>
      <w:r>
        <w:t xml:space="preserve"> </w:t>
      </w:r>
      <w:r>
        <w:tab/>
        <w:t xml:space="preserve">To support this argument, the Court of Appeal dissent also relied on section </w:t>
      </w:r>
      <w:r w:rsidRPr="0024797F">
        <w:t>1009</w:t>
      </w:r>
      <w:r>
        <w:t xml:space="preserve">, which </w:t>
      </w:r>
      <w:r w:rsidRPr="0024797F">
        <w:t>refer</w:t>
      </w:r>
      <w:r>
        <w:t>s</w:t>
      </w:r>
      <w:r w:rsidRPr="0024797F">
        <w:t xml:space="preserve"> to “</w:t>
      </w:r>
      <w:r w:rsidRPr="007D5901">
        <w:rPr>
          <w:i/>
          <w:iCs/>
        </w:rPr>
        <w:t>the</w:t>
      </w:r>
      <w:r w:rsidRPr="0024797F">
        <w:t xml:space="preserve"> evidence taken at </w:t>
      </w:r>
      <w:r w:rsidRPr="00DA0952">
        <w:rPr>
          <w:i/>
          <w:iCs/>
        </w:rPr>
        <w:t>the</w:t>
      </w:r>
      <w:r w:rsidRPr="0024797F">
        <w:t xml:space="preserve"> preliminary examination” (italics added) when discussing the </w:t>
      </w:r>
      <w:r>
        <w:t xml:space="preserve">scope of the </w:t>
      </w:r>
      <w:r w:rsidRPr="0024797F">
        <w:t>d</w:t>
      </w:r>
      <w:r>
        <w:t xml:space="preserve">istrict attorney’s authority </w:t>
      </w:r>
      <w:r w:rsidRPr="0024797F">
        <w:t xml:space="preserve">to amend </w:t>
      </w:r>
      <w:r>
        <w:t>an</w:t>
      </w:r>
      <w:r w:rsidRPr="0024797F">
        <w:t xml:space="preserve"> information.</w:t>
      </w:r>
      <w:r>
        <w:t xml:space="preserve">  (</w:t>
      </w:r>
      <w:r w:rsidRPr="00DA0952">
        <w:rPr>
          <w:i/>
          <w:iCs/>
        </w:rPr>
        <w:t>Henson</w:t>
      </w:r>
      <w:r w:rsidRPr="00DA0952">
        <w:t xml:space="preserve">, </w:t>
      </w:r>
      <w:r w:rsidRPr="00DA0952">
        <w:rPr>
          <w:i/>
          <w:iCs/>
        </w:rPr>
        <w:t>supra</w:t>
      </w:r>
      <w:r>
        <w:t xml:space="preserve">, 28 Cal.App.5th at p. 525, fn. 9, dis. opn. of Smith, J.)  The language of section 1009 tracks the language in section 739, and what </w:t>
      </w:r>
      <w:r w:rsidR="0050510B">
        <w:t xml:space="preserve">we </w:t>
      </w:r>
      <w:r>
        <w:t xml:space="preserve">say </w:t>
      </w:r>
      <w:r w:rsidR="0050510B">
        <w:t xml:space="preserve">here </w:t>
      </w:r>
      <w:r>
        <w:t>about section 739 applies equally to section 1009.</w:t>
      </w:r>
    </w:p>
  </w:footnote>
  <w:footnote w:id="20">
    <w:p w14:paraId="5A6CAE21" w14:textId="191601BF" w:rsidR="00A00C00" w:rsidRDefault="00A00C00" w:rsidP="0047127A">
      <w:pPr>
        <w:pStyle w:val="FootnoteText"/>
      </w:pPr>
      <w:r>
        <w:rPr>
          <w:rStyle w:val="FootnoteReference"/>
        </w:rPr>
        <w:footnoteRef/>
      </w:r>
      <w:r>
        <w:t xml:space="preserve"> </w:t>
      </w:r>
      <w:r>
        <w:tab/>
        <w:t>It is true that section 739 imposes a 15-day time limit for filing the information</w:t>
      </w:r>
      <w:r w:rsidR="00023049">
        <w:t xml:space="preserve"> (see § 860)</w:t>
      </w:r>
      <w:r>
        <w:t>, and th</w:t>
      </w:r>
      <w:r w:rsidR="00023049">
        <w:t>is</w:t>
      </w:r>
      <w:r>
        <w:t xml:space="preserve"> 15-day </w:t>
      </w:r>
      <w:r w:rsidR="00023049">
        <w:t xml:space="preserve">time limit </w:t>
      </w:r>
      <w:r>
        <w:t>places s</w:t>
      </w:r>
      <w:r w:rsidR="00792201">
        <w:t xml:space="preserve">ubstantial </w:t>
      </w:r>
      <w:r w:rsidR="00023049">
        <w:t xml:space="preserve">constraint </w:t>
      </w:r>
      <w:r>
        <w:t xml:space="preserve">on the ability of the district attorney to join related offenses from different </w:t>
      </w:r>
      <w:r w:rsidR="00023049">
        <w:t>magistrate proceedings</w:t>
      </w:r>
      <w:r>
        <w:t xml:space="preserve">.  </w:t>
      </w:r>
      <w:r w:rsidR="00023049">
        <w:t xml:space="preserve">Specifically, the </w:t>
      </w:r>
      <w:r w:rsidR="003315F0">
        <w:t xml:space="preserve">joint </w:t>
      </w:r>
      <w:r w:rsidR="00023049">
        <w:t xml:space="preserve">information </w:t>
      </w:r>
      <w:r w:rsidR="0050510B">
        <w:t xml:space="preserve">must be filed </w:t>
      </w:r>
      <w:r w:rsidR="00023049">
        <w:t xml:space="preserve">within 15 days of the </w:t>
      </w:r>
      <w:r w:rsidR="00023049" w:rsidRPr="0059478C">
        <w:rPr>
          <w:i/>
          <w:iCs/>
        </w:rPr>
        <w:t>earliest</w:t>
      </w:r>
      <w:r w:rsidR="00023049">
        <w:t xml:space="preserve"> commitment order.</w:t>
      </w:r>
      <w:r w:rsidR="00F24757">
        <w:t xml:space="preserve">  But we see no reason why th</w:t>
      </w:r>
      <w:r w:rsidR="0050510B">
        <w:t>is</w:t>
      </w:r>
      <w:r w:rsidR="00F24757">
        <w:t xml:space="preserve"> </w:t>
      </w:r>
      <w:r w:rsidR="00F24757" w:rsidRPr="00F24757">
        <w:t xml:space="preserve">constraint should be interpreted as an indication that the Legislature did not intend to allow joinder </w:t>
      </w:r>
      <w:r w:rsidR="004232F4">
        <w:t xml:space="preserve">in those circumstances where </w:t>
      </w:r>
      <w:r w:rsidR="00F24757" w:rsidRPr="00F24757">
        <w:t xml:space="preserve">the 15-day </w:t>
      </w:r>
      <w:r w:rsidR="0050510B">
        <w:t xml:space="preserve">time limit </w:t>
      </w:r>
      <w:r w:rsidR="00F24757" w:rsidRPr="00F24757">
        <w:t>can be met.</w:t>
      </w:r>
    </w:p>
  </w:footnote>
  <w:footnote w:id="21">
    <w:p w14:paraId="3711C078" w14:textId="7C4DAE10" w:rsidR="0050510B" w:rsidRDefault="0050510B" w:rsidP="0097090D">
      <w:pPr>
        <w:pStyle w:val="FootnoteText"/>
      </w:pPr>
      <w:r>
        <w:rPr>
          <w:rStyle w:val="FootnoteReference"/>
        </w:rPr>
        <w:footnoteRef/>
      </w:r>
      <w:r>
        <w:t xml:space="preserve"> </w:t>
      </w:r>
      <w:r>
        <w:tab/>
        <w:t>Defendant argues that due process protections preclude the joinder of related offenses from different magistrate proceedings</w:t>
      </w:r>
      <w:r w:rsidR="00FC2D68">
        <w:t xml:space="preserve">.  We </w:t>
      </w:r>
      <w:r w:rsidR="008A3AD2">
        <w:t>disagree</w:t>
      </w:r>
      <w:r w:rsidR="00FC2D68">
        <w:t>.  S</w:t>
      </w:r>
      <w:r>
        <w:t xml:space="preserve">ection 954 allows </w:t>
      </w:r>
      <w:r w:rsidR="00FC2D68">
        <w:t>a</w:t>
      </w:r>
      <w:r>
        <w:t xml:space="preserve"> defendant to seek severance of joined charges “</w:t>
      </w:r>
      <w:r w:rsidRPr="007E7640">
        <w:t>in the interests of justice and for good cause shown</w:t>
      </w:r>
      <w:r w:rsidR="008A3AD2">
        <w:t>,</w:t>
      </w:r>
      <w:r>
        <w:t>”</w:t>
      </w:r>
      <w:r w:rsidR="008A3AD2">
        <w:t xml:space="preserve"> thus protecting </w:t>
      </w:r>
      <w:r w:rsidR="00067C69">
        <w:t xml:space="preserve">defendant’s </w:t>
      </w:r>
      <w:r w:rsidR="008A3AD2">
        <w:t>due process rights.</w:t>
      </w:r>
      <w:r w:rsidR="00CB5D07">
        <w:t xml:space="preserve">  </w:t>
      </w:r>
      <w:r w:rsidR="00CB5D07" w:rsidRPr="00CB5D07">
        <w:t>(See</w:t>
      </w:r>
      <w:r w:rsidR="006F4F5E">
        <w:t>, e.g.,</w:t>
      </w:r>
      <w:r w:rsidR="00AB5473">
        <w:t xml:space="preserve"> </w:t>
      </w:r>
      <w:r w:rsidR="00CB5D07" w:rsidRPr="00CB5D07">
        <w:rPr>
          <w:i/>
          <w:iCs/>
        </w:rPr>
        <w:t>People v. Merriman</w:t>
      </w:r>
      <w:r w:rsidR="00690E1F">
        <w:t xml:space="preserve">, </w:t>
      </w:r>
      <w:r w:rsidR="00690E1F" w:rsidRPr="00690E1F">
        <w:rPr>
          <w:i/>
          <w:iCs/>
        </w:rPr>
        <w:t>supra</w:t>
      </w:r>
      <w:r w:rsidR="00690E1F">
        <w:t xml:space="preserve">, </w:t>
      </w:r>
      <w:r w:rsidR="00CB5D07" w:rsidRPr="00CB5D07">
        <w:t xml:space="preserve">60 Cal.4th </w:t>
      </w:r>
      <w:r w:rsidR="00690E1F">
        <w:t>at p. </w:t>
      </w:r>
      <w:r w:rsidR="00CB5D07" w:rsidRPr="00CB5D07">
        <w:t>46</w:t>
      </w:r>
      <w:r w:rsidR="00A53896">
        <w:t xml:space="preserve"> [</w:t>
      </w:r>
      <w:r w:rsidR="00AB5473">
        <w:t>“Even when [a reviewing court</w:t>
      </w:r>
      <w:r w:rsidR="0097090D">
        <w:t xml:space="preserve"> upholds the denial of a severance motion, it] must further inquire whether </w:t>
      </w:r>
      <w:r w:rsidR="00A53896" w:rsidRPr="00A53896">
        <w:t xml:space="preserve">events </w:t>
      </w:r>
      <w:r w:rsidR="00A53896" w:rsidRPr="00AB5473">
        <w:rPr>
          <w:i/>
          <w:iCs/>
        </w:rPr>
        <w:t>after</w:t>
      </w:r>
      <w:r w:rsidR="00A53896" w:rsidRPr="00A53896">
        <w:t xml:space="preserve"> </w:t>
      </w:r>
      <w:r w:rsidR="0097090D">
        <w:t>the court’s ruling demonstrate that joinder actually resulted in ‘gross unfairness’ amounting to a denial of defendant’s constitutional right to fair trial or due process of law.”</w:t>
      </w:r>
      <w:r w:rsidR="00A53896">
        <w:t>]</w:t>
      </w:r>
      <w:r w:rsidR="00CB5D07" w:rsidRPr="00CB5D07">
        <w:t>.)</w:t>
      </w:r>
      <w:r w:rsidR="00CB5D07">
        <w:t xml:space="preserve">  </w:t>
      </w:r>
      <w:r w:rsidR="001A2869">
        <w:t>B</w:t>
      </w:r>
      <w:r w:rsidR="001A2869" w:rsidRPr="001A2869">
        <w:t xml:space="preserve">ecause </w:t>
      </w:r>
      <w:r w:rsidR="001A2869">
        <w:t xml:space="preserve">defendant </w:t>
      </w:r>
      <w:r w:rsidR="001A2869" w:rsidRPr="001A2869">
        <w:t xml:space="preserve">did not avail himself of </w:t>
      </w:r>
      <w:r w:rsidR="0097090D">
        <w:t xml:space="preserve">section 954’s </w:t>
      </w:r>
      <w:r w:rsidR="001A2869" w:rsidRPr="001A2869">
        <w:t>severance option</w:t>
      </w:r>
      <w:r w:rsidR="001A2869">
        <w:t xml:space="preserve">, he </w:t>
      </w:r>
      <w:r>
        <w:t xml:space="preserve">cannot challenge the </w:t>
      </w:r>
      <w:r w:rsidR="00CD3947">
        <w:t xml:space="preserve">constitutionality of </w:t>
      </w:r>
      <w:r w:rsidR="0097090D">
        <w:t xml:space="preserve">that </w:t>
      </w:r>
      <w:r w:rsidR="008A3AD2">
        <w:t xml:space="preserve">section </w:t>
      </w:r>
      <w:r>
        <w:t xml:space="preserve">as applied to him.  </w:t>
      </w:r>
      <w:r w:rsidR="008A3AD2">
        <w:t xml:space="preserve">Instead, </w:t>
      </w:r>
      <w:r w:rsidR="00CD3947">
        <w:t>defendant argues that, despite the severance option, section 954 is facially unconstitutional because it p</w:t>
      </w:r>
      <w:r w:rsidR="008A3AD2">
        <w:t xml:space="preserve">laces </w:t>
      </w:r>
      <w:r w:rsidR="00CD3947">
        <w:t xml:space="preserve">the burden on </w:t>
      </w:r>
      <w:r w:rsidR="00277402">
        <w:t xml:space="preserve">defendants to move for </w:t>
      </w:r>
      <w:r w:rsidR="00CD3947">
        <w:t xml:space="preserve">severance.  Defendant cites no </w:t>
      </w:r>
      <w:r w:rsidR="007B7CD8">
        <w:t xml:space="preserve">relevant </w:t>
      </w:r>
      <w:r w:rsidR="00CD3947">
        <w:t xml:space="preserve">authority </w:t>
      </w:r>
      <w:r w:rsidR="007B7CD8">
        <w:t xml:space="preserve">for </w:t>
      </w:r>
      <w:r w:rsidR="001A2869">
        <w:t>t</w:t>
      </w:r>
      <w:r w:rsidR="00CD3947">
        <w:t xml:space="preserve">his argument, which </w:t>
      </w:r>
      <w:r w:rsidR="00277402">
        <w:t xml:space="preserve">equally </w:t>
      </w:r>
      <w:r w:rsidR="00165C92">
        <w:t>call</w:t>
      </w:r>
      <w:r w:rsidR="007B7CD8">
        <w:t>s</w:t>
      </w:r>
      <w:r w:rsidR="00165C92">
        <w:t xml:space="preserve"> into </w:t>
      </w:r>
      <w:r w:rsidR="004A3F0A">
        <w:t xml:space="preserve">doubt </w:t>
      </w:r>
      <w:r w:rsidR="00165C92">
        <w:t xml:space="preserve">the constitutionality of the </w:t>
      </w:r>
      <w:r w:rsidR="00CD3947">
        <w:t xml:space="preserve">Federal Rules </w:t>
      </w:r>
      <w:r w:rsidR="00165C92">
        <w:t>of Criminal Procedure.  (See Fed. R</w:t>
      </w:r>
      <w:r w:rsidR="004A3F0A">
        <w:t>ules</w:t>
      </w:r>
      <w:r w:rsidR="00165C92">
        <w:t xml:space="preserve"> Crim. Proc., rules 8</w:t>
      </w:r>
      <w:r w:rsidR="004A3F0A">
        <w:t xml:space="preserve">, </w:t>
      </w:r>
      <w:r w:rsidR="00165C92">
        <w:t>14</w:t>
      </w:r>
      <w:r w:rsidR="004A3F0A">
        <w:t xml:space="preserve">, 18 U.S.C. </w:t>
      </w:r>
      <w:r w:rsidR="00165C92">
        <w:t xml:space="preserve">[allowing joinder </w:t>
      </w:r>
      <w:r w:rsidR="008A3AD2">
        <w:t xml:space="preserve">of </w:t>
      </w:r>
      <w:r w:rsidR="001A2869">
        <w:t xml:space="preserve">appropriately </w:t>
      </w:r>
      <w:r w:rsidR="008A3AD2">
        <w:t>related charges</w:t>
      </w:r>
      <w:r w:rsidR="001A2869">
        <w:t>,</w:t>
      </w:r>
      <w:r w:rsidR="008A3AD2">
        <w:t xml:space="preserve"> </w:t>
      </w:r>
      <w:r w:rsidR="00165C92">
        <w:t xml:space="preserve">subject to </w:t>
      </w:r>
      <w:r w:rsidR="001A2869">
        <w:t xml:space="preserve">a motion for </w:t>
      </w:r>
      <w:r w:rsidR="00165C92">
        <w:t xml:space="preserve">severance].)  </w:t>
      </w:r>
      <w:r w:rsidR="000010D5">
        <w:t xml:space="preserve">Moreover, </w:t>
      </w:r>
      <w:r>
        <w:t>defendant concedes that related c</w:t>
      </w:r>
      <w:r w:rsidRPr="00060475">
        <w:t xml:space="preserve">harges may be joined at the </w:t>
      </w:r>
      <w:r w:rsidR="000010D5">
        <w:t xml:space="preserve">felony </w:t>
      </w:r>
      <w:r w:rsidRPr="00060475">
        <w:t>complaint stage</w:t>
      </w:r>
      <w:r w:rsidR="007B7CD8">
        <w:t xml:space="preserve">, </w:t>
      </w:r>
      <w:r w:rsidR="001A2869">
        <w:t xml:space="preserve">which </w:t>
      </w:r>
      <w:r w:rsidR="007B7CD8">
        <w:t xml:space="preserve">would </w:t>
      </w:r>
      <w:r w:rsidR="00D928A1">
        <w:t xml:space="preserve">place </w:t>
      </w:r>
      <w:r w:rsidR="007B7CD8">
        <w:t xml:space="preserve">him </w:t>
      </w:r>
      <w:r w:rsidR="00D928A1">
        <w:t xml:space="preserve">in the </w:t>
      </w:r>
      <w:r w:rsidR="001A2869">
        <w:t xml:space="preserve">same </w:t>
      </w:r>
      <w:r w:rsidR="007B7CD8">
        <w:t xml:space="preserve">position of </w:t>
      </w:r>
      <w:r w:rsidR="00F65FBD">
        <w:t xml:space="preserve">needing </w:t>
      </w:r>
      <w:r w:rsidR="00D928A1">
        <w:t>to move for severance</w:t>
      </w:r>
      <w:r w:rsidR="007B7CD8">
        <w:t xml:space="preserve">.  </w:t>
      </w:r>
      <w:r w:rsidR="00F65FBD">
        <w:t xml:space="preserve">Defendant </w:t>
      </w:r>
      <w:r w:rsidR="007B7CD8">
        <w:t xml:space="preserve">does not explain why </w:t>
      </w:r>
      <w:r w:rsidR="00277402">
        <w:t xml:space="preserve">joinder at the </w:t>
      </w:r>
      <w:r w:rsidR="007B7CD8">
        <w:t>information stage</w:t>
      </w:r>
      <w:r w:rsidR="00277402">
        <w:t xml:space="preserve"> requires a different </w:t>
      </w:r>
      <w:r w:rsidR="001A2869">
        <w:t>constitutional rule</w:t>
      </w:r>
      <w:r w:rsidR="007B7CD8">
        <w:t xml:space="preserve">.  Finally, defendant cannot complain that the joint information failed to give him notice of the charges </w:t>
      </w:r>
      <w:r w:rsidR="00277402">
        <w:t xml:space="preserve">alleged </w:t>
      </w:r>
      <w:r w:rsidR="007B7CD8">
        <w:t xml:space="preserve">against him.  </w:t>
      </w:r>
      <w:r w:rsidR="00D928A1">
        <w:t>Accordingly, we reject defendant’s due process argument</w:t>
      </w:r>
      <w:r w:rsidR="001A2869">
        <w:t>s</w:t>
      </w:r>
      <w:r>
        <w:t>.</w:t>
      </w:r>
    </w:p>
  </w:footnote>
  <w:footnote w:id="22">
    <w:p w14:paraId="3DE01D0A" w14:textId="77777777" w:rsidR="00BF3240" w:rsidRDefault="00BF3240" w:rsidP="00BF3240">
      <w:pPr>
        <w:pStyle w:val="FootnoteText"/>
      </w:pPr>
      <w:r>
        <w:rPr>
          <w:rStyle w:val="FootnoteReference"/>
        </w:rPr>
        <w:footnoteRef/>
      </w:r>
      <w:r>
        <w:t xml:space="preserve"> </w:t>
      </w:r>
      <w:r>
        <w:tab/>
      </w:r>
      <w:r>
        <w:rPr>
          <w:szCs w:val="27"/>
        </w:rPr>
        <w:t xml:space="preserve">An earlier amendment to section 954, enacted in 1905, had authorized the joinder of different offenses or different statements of the same offense, but only “if all related to the same act or event.”  (14 Cal.Jur. (1924) </w:t>
      </w:r>
      <w:r>
        <w:t>Indictment and Information</w:t>
      </w:r>
      <w:r>
        <w:rPr>
          <w:szCs w:val="27"/>
        </w:rPr>
        <w:t xml:space="preserve">, § 50, p. 65; see also </w:t>
      </w:r>
      <w:r>
        <w:rPr>
          <w:i/>
          <w:iCs/>
          <w:szCs w:val="27"/>
        </w:rPr>
        <w:t xml:space="preserve">id. </w:t>
      </w:r>
      <w:r>
        <w:rPr>
          <w:szCs w:val="27"/>
        </w:rPr>
        <w:t>at pp. 65–66 [detailing amendment history of § 954].)</w:t>
      </w:r>
    </w:p>
  </w:footnote>
  <w:footnote w:id="23">
    <w:p w14:paraId="59C6D668" w14:textId="77777777" w:rsidR="00BF3240" w:rsidRDefault="00BF3240" w:rsidP="00BF3240">
      <w:pPr>
        <w:pStyle w:val="FootnoteText"/>
        <w:rPr>
          <w:szCs w:val="27"/>
        </w:rPr>
      </w:pPr>
      <w:r>
        <w:rPr>
          <w:rStyle w:val="FootnoteReference"/>
        </w:rPr>
        <w:footnoteRef/>
      </w:r>
      <w:r>
        <w:rPr>
          <w:sz w:val="20"/>
        </w:rPr>
        <w:t xml:space="preserve"> </w:t>
      </w:r>
      <w:r>
        <w:rPr>
          <w:szCs w:val="27"/>
        </w:rPr>
        <w:tab/>
        <w:t>This change followed a 1927 recommendation by a blue-ribbon legislative commission to modify former section 809 to “expressly permit the information to charge either the crime named in the order of commitment or any offense shown by the evidence taken before the magistrate.”  (Com. for the Reform of Criminal Procedure, Rep. to Legislature (1927) p. 7.)</w:t>
      </w:r>
    </w:p>
  </w:footnote>
  <w:footnote w:id="24">
    <w:p w14:paraId="3C1C4273" w14:textId="77777777" w:rsidR="00BF3240" w:rsidRDefault="00BF3240" w:rsidP="00BF3240">
      <w:pPr>
        <w:pStyle w:val="FootnoteText"/>
        <w:rPr>
          <w:szCs w:val="27"/>
          <w:highlight w:val="yellow"/>
        </w:rPr>
      </w:pPr>
      <w:r>
        <w:rPr>
          <w:rStyle w:val="FootnoteReference"/>
        </w:rPr>
        <w:footnoteRef/>
      </w:r>
      <w:r>
        <w:rPr>
          <w:sz w:val="20"/>
        </w:rPr>
        <w:t xml:space="preserve"> </w:t>
      </w:r>
      <w:r>
        <w:rPr>
          <w:szCs w:val="27"/>
        </w:rPr>
        <w:tab/>
      </w:r>
      <w:bookmarkStart w:id="18" w:name="_Hlk109654645"/>
      <w:r>
        <w:rPr>
          <w:szCs w:val="27"/>
        </w:rPr>
        <w:t xml:space="preserve">To be sure, the statutory language speaks of consolidating “pleadings,” not “cases.”  (§ 954.)  </w:t>
      </w:r>
      <w:r>
        <w:t xml:space="preserve">But cases follow pleadings; the effect of consolidating accusatory pleadings is to consolidate the cases to which they pertain.  (Cf. maj. opn., </w:t>
      </w:r>
      <w:r>
        <w:rPr>
          <w:i/>
          <w:iCs/>
        </w:rPr>
        <w:t>ante</w:t>
      </w:r>
      <w:r>
        <w:t>, at p. 23, fn. 13.)</w:t>
      </w:r>
      <w:bookmarkEnd w:id="18"/>
    </w:p>
  </w:footnote>
  <w:footnote w:id="25">
    <w:p w14:paraId="232E1A7C" w14:textId="77777777" w:rsidR="00BF3240" w:rsidRDefault="00BF3240" w:rsidP="00C72BAA">
      <w:pPr>
        <w:spacing w:line="300" w:lineRule="exact"/>
        <w:rPr>
          <w:szCs w:val="27"/>
        </w:rPr>
      </w:pPr>
      <w:r>
        <w:rPr>
          <w:rStyle w:val="FootnoteReference"/>
        </w:rPr>
        <w:footnoteRef/>
      </w:r>
      <w:r>
        <w:rPr>
          <w:szCs w:val="27"/>
        </w:rPr>
        <w:tab/>
        <w:t xml:space="preserve">The same can be said for the majority’s view that “the felony complaint that initiated the magistrate proceeding was not filed in the municipal court or in </w:t>
      </w:r>
      <w:r>
        <w:rPr>
          <w:i/>
          <w:iCs/>
          <w:szCs w:val="27"/>
        </w:rPr>
        <w:t>any</w:t>
      </w:r>
      <w:r>
        <w:rPr>
          <w:szCs w:val="27"/>
        </w:rPr>
        <w:t xml:space="preserve"> court.”  (Maj. opn., </w:t>
      </w:r>
      <w:r>
        <w:rPr>
          <w:i/>
          <w:iCs/>
          <w:szCs w:val="27"/>
        </w:rPr>
        <w:t>ante</w:t>
      </w:r>
      <w:r>
        <w:rPr>
          <w:szCs w:val="27"/>
        </w:rPr>
        <w:t xml:space="preserve">, at p. 30; cf., e.g., Pen. Code, § 859 [“When the defendant is charged with the commission of a felony by a written complaint subscribed under oath and </w:t>
      </w:r>
      <w:r>
        <w:rPr>
          <w:i/>
          <w:iCs/>
          <w:szCs w:val="27"/>
        </w:rPr>
        <w:t>on file in a court</w:t>
      </w:r>
      <w:r>
        <w:rPr>
          <w:szCs w:val="27"/>
        </w:rPr>
        <w:t xml:space="preserve"> within the county in which the felony is triable, he or she shall, without unnecessary delay, be taken before a magistrate </w:t>
      </w:r>
      <w:r>
        <w:rPr>
          <w:i/>
          <w:iCs/>
          <w:szCs w:val="27"/>
        </w:rPr>
        <w:t>of the court in which the complaint is on file</w:t>
      </w:r>
      <w:r>
        <w:rPr>
          <w:szCs w:val="27"/>
        </w:rPr>
        <w:t xml:space="preserve">,” italics added]; </w:t>
      </w:r>
      <w:r>
        <w:rPr>
          <w:i/>
          <w:iCs/>
          <w:szCs w:val="27"/>
        </w:rPr>
        <w:t>In re Geer</w:t>
      </w:r>
      <w:r>
        <w:rPr>
          <w:szCs w:val="27"/>
        </w:rPr>
        <w:t xml:space="preserve"> (1980) 108 Cal.App.3d 1002, 1008 [pointing out the “interchangeable use of ‘court’ and ‘magistrate’ in various other portions of the Penal Code relating to preliminary proceedings,” including Pen. Code, §§ 859, 859a, 868, 1002, 1383 &amp; 1388].)  Among other things, the majority’s view that felony complaints are not filed in a court might imply that magistrates do not have the authority to consolidate felony complaints under section 954. But reported case law contains numerous examples of felony complaint consolidation.  (See, e.g., </w:t>
      </w:r>
      <w:r>
        <w:rPr>
          <w:i/>
          <w:iCs/>
          <w:szCs w:val="27"/>
        </w:rPr>
        <w:t>People v. Soper</w:t>
      </w:r>
      <w:r>
        <w:rPr>
          <w:szCs w:val="27"/>
        </w:rPr>
        <w:t xml:space="preserve"> (2009) 45 Cal.4th 759, 769; </w:t>
      </w:r>
      <w:r>
        <w:rPr>
          <w:i/>
          <w:iCs/>
          <w:szCs w:val="27"/>
        </w:rPr>
        <w:t>Price v. Superior Court</w:t>
      </w:r>
      <w:r>
        <w:rPr>
          <w:szCs w:val="27"/>
        </w:rPr>
        <w:t xml:space="preserve"> (2001) 25 Cal.4th 1046, 1051; </w:t>
      </w:r>
      <w:r>
        <w:rPr>
          <w:i/>
          <w:iCs/>
          <w:szCs w:val="27"/>
        </w:rPr>
        <w:t>People v. Indiana Lumbermens Mutual Ins. Co.</w:t>
      </w:r>
      <w:r>
        <w:rPr>
          <w:szCs w:val="27"/>
        </w:rPr>
        <w:t xml:space="preserve"> (2012) 202 Cal.App.4th 1541, 1544, 1546; </w:t>
      </w:r>
      <w:r>
        <w:rPr>
          <w:i/>
          <w:iCs/>
          <w:szCs w:val="27"/>
        </w:rPr>
        <w:t>Berardi v. Superior Court</w:t>
      </w:r>
      <w:r>
        <w:rPr>
          <w:szCs w:val="27"/>
        </w:rPr>
        <w:t xml:space="preserve"> (2008) 160 Cal.App.4th 210, 223.)  I do not understand the majority opinion to call any of this into question (see maj. opn., </w:t>
      </w:r>
      <w:r>
        <w:rPr>
          <w:i/>
          <w:iCs/>
          <w:szCs w:val="27"/>
        </w:rPr>
        <w:t>ante</w:t>
      </w:r>
      <w:r>
        <w:rPr>
          <w:szCs w:val="27"/>
        </w:rPr>
        <w:t>, at p. 22, fn. 12); the conceptual distinction it now draws between “courts” and “magistrates” appears largely limited to the particular charging issue we confront today.</w:t>
      </w:r>
    </w:p>
    <w:p w14:paraId="3ABABF52" w14:textId="77777777" w:rsidR="00BF3240" w:rsidRDefault="00BF3240" w:rsidP="00BF3240">
      <w:pPr>
        <w:pStyle w:val="FootnoteText"/>
        <w:rPr>
          <w:szCs w:val="27"/>
        </w:rPr>
      </w:pPr>
    </w:p>
  </w:footnote>
  <w:footnote w:id="26">
    <w:p w14:paraId="294A7014" w14:textId="77777777" w:rsidR="00BF3240" w:rsidRDefault="00BF3240" w:rsidP="00BF3240">
      <w:pPr>
        <w:pStyle w:val="FootnoteText"/>
        <w:rPr>
          <w:szCs w:val="27"/>
        </w:rPr>
      </w:pPr>
      <w:r>
        <w:rPr>
          <w:rStyle w:val="FootnoteReference"/>
        </w:rPr>
        <w:footnoteRef/>
      </w:r>
      <w:r>
        <w:rPr>
          <w:szCs w:val="27"/>
        </w:rPr>
        <w:t xml:space="preserve"> </w:t>
      </w:r>
      <w:r>
        <w:rPr>
          <w:szCs w:val="27"/>
        </w:rPr>
        <w:tab/>
        <w:t xml:space="preserve">The majority refers to proceedings before the filing of the information as “magistrate cases” (as opposed, it seems, to the “real” felony cases that begin afterward).  This term is a new invention (maj. opn., </w:t>
      </w:r>
      <w:r>
        <w:rPr>
          <w:i/>
          <w:iCs/>
          <w:szCs w:val="27"/>
        </w:rPr>
        <w:t>ante</w:t>
      </w:r>
      <w:r>
        <w:rPr>
          <w:szCs w:val="27"/>
        </w:rPr>
        <w:t>, at p. 3, fn. 2); it appears nowhere in our statutes or case law.</w:t>
      </w:r>
    </w:p>
  </w:footnote>
  <w:footnote w:id="27">
    <w:p w14:paraId="27BA6717" w14:textId="77777777" w:rsidR="00BF3240" w:rsidRDefault="00BF3240" w:rsidP="00BF3240">
      <w:pPr>
        <w:pStyle w:val="FootnoteText"/>
        <w:rPr>
          <w:szCs w:val="27"/>
        </w:rPr>
      </w:pPr>
      <w:r>
        <w:rPr>
          <w:rStyle w:val="FootnoteReference"/>
        </w:rPr>
        <w:footnoteRef/>
      </w:r>
      <w:r>
        <w:rPr>
          <w:szCs w:val="27"/>
        </w:rPr>
        <w:t xml:space="preserve"> </w:t>
      </w:r>
      <w:r>
        <w:rPr>
          <w:szCs w:val="27"/>
        </w:rPr>
        <w:tab/>
        <w:t xml:space="preserve">The majority’s analysis of Henson’s Penal Code section 995 motion (maj. opn., </w:t>
      </w:r>
      <w:r>
        <w:rPr>
          <w:i/>
          <w:iCs/>
          <w:szCs w:val="27"/>
        </w:rPr>
        <w:t>ante</w:t>
      </w:r>
      <w:r>
        <w:rPr>
          <w:szCs w:val="27"/>
        </w:rPr>
        <w:t xml:space="preserve">, at pp. 37–38) depends on its view that the filing of the joint information was proper (see </w:t>
      </w:r>
      <w:r>
        <w:rPr>
          <w:i/>
          <w:iCs/>
          <w:szCs w:val="27"/>
        </w:rPr>
        <w:t xml:space="preserve">id. </w:t>
      </w:r>
      <w:r>
        <w:rPr>
          <w:szCs w:val="27"/>
        </w:rPr>
        <w:t xml:space="preserve">at p. 2).  As a result, the majority does not address alternative grounds for affirming the Court of Appeal’s judgment, including the possibility that Henson forfeited his objection to the information by failing to demur (see </w:t>
      </w:r>
      <w:r>
        <w:rPr>
          <w:i/>
          <w:iCs/>
          <w:szCs w:val="27"/>
        </w:rPr>
        <w:t>Henson</w:t>
      </w:r>
      <w:r>
        <w:rPr>
          <w:szCs w:val="27"/>
        </w:rPr>
        <w:t xml:space="preserve">, </w:t>
      </w:r>
      <w:r>
        <w:rPr>
          <w:i/>
          <w:iCs/>
          <w:szCs w:val="27"/>
        </w:rPr>
        <w:t>supra</w:t>
      </w:r>
      <w:r>
        <w:rPr>
          <w:szCs w:val="27"/>
        </w:rPr>
        <w:t>, 28 Cal.App.5th at pp. 503–504 &amp; fns. 6, 8).  I accordingly do not address those alternative grounds either.  For reasons already explained, I respectfully disagree with the reasons the majority does give for affirming the judgment.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B3CD" w14:textId="62F5716C" w:rsidR="0047127A" w:rsidRDefault="0047127A">
    <w:pPr>
      <w:pStyle w:val="Header"/>
    </w:pPr>
    <w:r>
      <w:t>PEOPLE v. HENSON</w:t>
    </w:r>
  </w:p>
  <w:p w14:paraId="7D0D14F2" w14:textId="0F73B483" w:rsidR="0047127A" w:rsidRDefault="0047127A">
    <w:pPr>
      <w:pStyle w:val="Header"/>
    </w:pPr>
    <w:r>
      <w:t>Opinion of the Court by Jenkins, J.</w:t>
    </w:r>
  </w:p>
  <w:p w14:paraId="64E0AEE0" w14:textId="77777777" w:rsidR="0047127A" w:rsidRDefault="00471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1889" w14:textId="77777777" w:rsidR="0069478E" w:rsidRDefault="0069478E">
    <w:pPr>
      <w:pStyle w:val="Header"/>
    </w:pPr>
    <w:r>
      <w:t>PEOPLE v. HENSON</w:t>
    </w:r>
  </w:p>
  <w:p w14:paraId="6B4C194E" w14:textId="3AC1DF78" w:rsidR="0069478E" w:rsidRDefault="0069478E">
    <w:pPr>
      <w:pStyle w:val="Header"/>
    </w:pPr>
    <w:r>
      <w:t xml:space="preserve">Kruger, J., </w:t>
    </w:r>
    <w:r w:rsidR="00F76005">
      <w:t>dissent</w:t>
    </w:r>
    <w:r>
      <w:t>ing</w:t>
    </w:r>
  </w:p>
  <w:p w14:paraId="6173C7DC" w14:textId="77777777" w:rsidR="0069478E" w:rsidRDefault="0069478E">
    <w:pPr>
      <w:pStyle w:val="Header"/>
    </w:pPr>
  </w:p>
  <w:p w14:paraId="19D234D7" w14:textId="77777777" w:rsidR="009301F9" w:rsidRDefault="00930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8D2B" w14:textId="77777777" w:rsidR="0073088A" w:rsidRPr="0073088A" w:rsidRDefault="0073088A" w:rsidP="007308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proofState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CD"/>
    <w:rsid w:val="00000572"/>
    <w:rsid w:val="00000A10"/>
    <w:rsid w:val="000010D5"/>
    <w:rsid w:val="000014FF"/>
    <w:rsid w:val="00001FD6"/>
    <w:rsid w:val="0000249C"/>
    <w:rsid w:val="00002CBB"/>
    <w:rsid w:val="00002F8E"/>
    <w:rsid w:val="000036CF"/>
    <w:rsid w:val="000041D9"/>
    <w:rsid w:val="00004B46"/>
    <w:rsid w:val="00004F9D"/>
    <w:rsid w:val="00004FEC"/>
    <w:rsid w:val="00005382"/>
    <w:rsid w:val="00006649"/>
    <w:rsid w:val="00007D00"/>
    <w:rsid w:val="00007FF2"/>
    <w:rsid w:val="000137D2"/>
    <w:rsid w:val="00015B7C"/>
    <w:rsid w:val="00017254"/>
    <w:rsid w:val="000176E2"/>
    <w:rsid w:val="00020AFC"/>
    <w:rsid w:val="00020F3B"/>
    <w:rsid w:val="00021370"/>
    <w:rsid w:val="00022809"/>
    <w:rsid w:val="00022810"/>
    <w:rsid w:val="00022CE7"/>
    <w:rsid w:val="00023049"/>
    <w:rsid w:val="00023A02"/>
    <w:rsid w:val="00025107"/>
    <w:rsid w:val="00033B63"/>
    <w:rsid w:val="00035339"/>
    <w:rsid w:val="00035578"/>
    <w:rsid w:val="00035C47"/>
    <w:rsid w:val="000364D5"/>
    <w:rsid w:val="000369C7"/>
    <w:rsid w:val="000373D9"/>
    <w:rsid w:val="00040268"/>
    <w:rsid w:val="000409CB"/>
    <w:rsid w:val="000426E6"/>
    <w:rsid w:val="00043C93"/>
    <w:rsid w:val="00043DA7"/>
    <w:rsid w:val="0004423A"/>
    <w:rsid w:val="0004446F"/>
    <w:rsid w:val="0004486E"/>
    <w:rsid w:val="0004614A"/>
    <w:rsid w:val="00046F68"/>
    <w:rsid w:val="000479D3"/>
    <w:rsid w:val="0005026C"/>
    <w:rsid w:val="00051C96"/>
    <w:rsid w:val="00052DF5"/>
    <w:rsid w:val="0005680C"/>
    <w:rsid w:val="00056D85"/>
    <w:rsid w:val="00057F12"/>
    <w:rsid w:val="00057F29"/>
    <w:rsid w:val="00060475"/>
    <w:rsid w:val="00060E4F"/>
    <w:rsid w:val="00061259"/>
    <w:rsid w:val="00061B4E"/>
    <w:rsid w:val="0006448F"/>
    <w:rsid w:val="000644BC"/>
    <w:rsid w:val="0006455F"/>
    <w:rsid w:val="0006466D"/>
    <w:rsid w:val="000651B5"/>
    <w:rsid w:val="000654D1"/>
    <w:rsid w:val="000669F0"/>
    <w:rsid w:val="00066CC2"/>
    <w:rsid w:val="0006702A"/>
    <w:rsid w:val="00067696"/>
    <w:rsid w:val="00067C69"/>
    <w:rsid w:val="000716DA"/>
    <w:rsid w:val="0007190F"/>
    <w:rsid w:val="00071FF9"/>
    <w:rsid w:val="000730F2"/>
    <w:rsid w:val="00073464"/>
    <w:rsid w:val="00073A01"/>
    <w:rsid w:val="00076377"/>
    <w:rsid w:val="00076903"/>
    <w:rsid w:val="00077296"/>
    <w:rsid w:val="0007744C"/>
    <w:rsid w:val="000775A0"/>
    <w:rsid w:val="00077A85"/>
    <w:rsid w:val="00080B00"/>
    <w:rsid w:val="00080D5B"/>
    <w:rsid w:val="00083E03"/>
    <w:rsid w:val="000854D7"/>
    <w:rsid w:val="00085B78"/>
    <w:rsid w:val="00086D79"/>
    <w:rsid w:val="00087B85"/>
    <w:rsid w:val="00087E54"/>
    <w:rsid w:val="00091400"/>
    <w:rsid w:val="00091898"/>
    <w:rsid w:val="000923AC"/>
    <w:rsid w:val="00092693"/>
    <w:rsid w:val="00093CA0"/>
    <w:rsid w:val="000958D0"/>
    <w:rsid w:val="000969AB"/>
    <w:rsid w:val="00096EED"/>
    <w:rsid w:val="00097CD5"/>
    <w:rsid w:val="000A0BA0"/>
    <w:rsid w:val="000A1231"/>
    <w:rsid w:val="000A15B7"/>
    <w:rsid w:val="000A16BE"/>
    <w:rsid w:val="000A16D5"/>
    <w:rsid w:val="000A1DA2"/>
    <w:rsid w:val="000A237C"/>
    <w:rsid w:val="000A309D"/>
    <w:rsid w:val="000A3B68"/>
    <w:rsid w:val="000A3D84"/>
    <w:rsid w:val="000A46B0"/>
    <w:rsid w:val="000A4BC3"/>
    <w:rsid w:val="000A6022"/>
    <w:rsid w:val="000A677C"/>
    <w:rsid w:val="000A792A"/>
    <w:rsid w:val="000A79D4"/>
    <w:rsid w:val="000B2880"/>
    <w:rsid w:val="000B28E4"/>
    <w:rsid w:val="000B2BE9"/>
    <w:rsid w:val="000B3908"/>
    <w:rsid w:val="000B435C"/>
    <w:rsid w:val="000B4D8C"/>
    <w:rsid w:val="000B58F2"/>
    <w:rsid w:val="000B6E23"/>
    <w:rsid w:val="000C1C1B"/>
    <w:rsid w:val="000C1D65"/>
    <w:rsid w:val="000C20D6"/>
    <w:rsid w:val="000C2C35"/>
    <w:rsid w:val="000C32D5"/>
    <w:rsid w:val="000C3A22"/>
    <w:rsid w:val="000C61AF"/>
    <w:rsid w:val="000D2149"/>
    <w:rsid w:val="000D2B4F"/>
    <w:rsid w:val="000D418D"/>
    <w:rsid w:val="000D4665"/>
    <w:rsid w:val="000D4EFE"/>
    <w:rsid w:val="000D72EB"/>
    <w:rsid w:val="000D7693"/>
    <w:rsid w:val="000D7906"/>
    <w:rsid w:val="000D7AC7"/>
    <w:rsid w:val="000D7B23"/>
    <w:rsid w:val="000E15BD"/>
    <w:rsid w:val="000E2373"/>
    <w:rsid w:val="000E594A"/>
    <w:rsid w:val="000E5B6A"/>
    <w:rsid w:val="000F23B8"/>
    <w:rsid w:val="000F2ECD"/>
    <w:rsid w:val="000F344E"/>
    <w:rsid w:val="000F3BA2"/>
    <w:rsid w:val="000F3EC5"/>
    <w:rsid w:val="000F468A"/>
    <w:rsid w:val="000F49E9"/>
    <w:rsid w:val="000F65FD"/>
    <w:rsid w:val="000F6F49"/>
    <w:rsid w:val="000F7031"/>
    <w:rsid w:val="001025BC"/>
    <w:rsid w:val="00103CBC"/>
    <w:rsid w:val="0010511A"/>
    <w:rsid w:val="001055D1"/>
    <w:rsid w:val="0010561E"/>
    <w:rsid w:val="00107451"/>
    <w:rsid w:val="00107720"/>
    <w:rsid w:val="00107D55"/>
    <w:rsid w:val="001112D9"/>
    <w:rsid w:val="001128BB"/>
    <w:rsid w:val="00112D7C"/>
    <w:rsid w:val="00113112"/>
    <w:rsid w:val="00113E21"/>
    <w:rsid w:val="00114E66"/>
    <w:rsid w:val="001165BF"/>
    <w:rsid w:val="00116684"/>
    <w:rsid w:val="00116982"/>
    <w:rsid w:val="00116EE9"/>
    <w:rsid w:val="00117056"/>
    <w:rsid w:val="00117F10"/>
    <w:rsid w:val="00120303"/>
    <w:rsid w:val="0012144F"/>
    <w:rsid w:val="001214FD"/>
    <w:rsid w:val="001216C6"/>
    <w:rsid w:val="001223BA"/>
    <w:rsid w:val="00123A87"/>
    <w:rsid w:val="00123DA7"/>
    <w:rsid w:val="0012541D"/>
    <w:rsid w:val="00126F6D"/>
    <w:rsid w:val="001279EA"/>
    <w:rsid w:val="00130110"/>
    <w:rsid w:val="001310CA"/>
    <w:rsid w:val="001324F3"/>
    <w:rsid w:val="0013291F"/>
    <w:rsid w:val="00134024"/>
    <w:rsid w:val="00140428"/>
    <w:rsid w:val="00140910"/>
    <w:rsid w:val="00141C6F"/>
    <w:rsid w:val="001428A4"/>
    <w:rsid w:val="00142D58"/>
    <w:rsid w:val="001437BA"/>
    <w:rsid w:val="00143A70"/>
    <w:rsid w:val="00144606"/>
    <w:rsid w:val="001447E7"/>
    <w:rsid w:val="00144A07"/>
    <w:rsid w:val="00145185"/>
    <w:rsid w:val="001454AC"/>
    <w:rsid w:val="001454FE"/>
    <w:rsid w:val="00145F07"/>
    <w:rsid w:val="00146480"/>
    <w:rsid w:val="00150255"/>
    <w:rsid w:val="001506B2"/>
    <w:rsid w:val="0015113E"/>
    <w:rsid w:val="0015128E"/>
    <w:rsid w:val="00151972"/>
    <w:rsid w:val="00152976"/>
    <w:rsid w:val="00152DD2"/>
    <w:rsid w:val="00152FDA"/>
    <w:rsid w:val="00153EA2"/>
    <w:rsid w:val="001554E6"/>
    <w:rsid w:val="001609EF"/>
    <w:rsid w:val="00161AC3"/>
    <w:rsid w:val="00162221"/>
    <w:rsid w:val="00162224"/>
    <w:rsid w:val="001634C1"/>
    <w:rsid w:val="00165247"/>
    <w:rsid w:val="00165C92"/>
    <w:rsid w:val="001674FD"/>
    <w:rsid w:val="001706CD"/>
    <w:rsid w:val="001735EA"/>
    <w:rsid w:val="00173A39"/>
    <w:rsid w:val="00173C5F"/>
    <w:rsid w:val="001740FD"/>
    <w:rsid w:val="001744DE"/>
    <w:rsid w:val="00175ECF"/>
    <w:rsid w:val="00176231"/>
    <w:rsid w:val="00176FCE"/>
    <w:rsid w:val="001779FA"/>
    <w:rsid w:val="001801B5"/>
    <w:rsid w:val="00180CAB"/>
    <w:rsid w:val="0018316F"/>
    <w:rsid w:val="00183627"/>
    <w:rsid w:val="00183EB4"/>
    <w:rsid w:val="001858CA"/>
    <w:rsid w:val="001862E5"/>
    <w:rsid w:val="00187031"/>
    <w:rsid w:val="00192A2B"/>
    <w:rsid w:val="00192B5C"/>
    <w:rsid w:val="00192D65"/>
    <w:rsid w:val="0019385B"/>
    <w:rsid w:val="00193B35"/>
    <w:rsid w:val="001944D7"/>
    <w:rsid w:val="00194AB3"/>
    <w:rsid w:val="00194C0C"/>
    <w:rsid w:val="0019578E"/>
    <w:rsid w:val="001960CE"/>
    <w:rsid w:val="0019612E"/>
    <w:rsid w:val="00197F0F"/>
    <w:rsid w:val="001A0311"/>
    <w:rsid w:val="001A05B8"/>
    <w:rsid w:val="001A0BE3"/>
    <w:rsid w:val="001A0F92"/>
    <w:rsid w:val="001A1135"/>
    <w:rsid w:val="001A13BC"/>
    <w:rsid w:val="001A2869"/>
    <w:rsid w:val="001A2B12"/>
    <w:rsid w:val="001A481D"/>
    <w:rsid w:val="001A5224"/>
    <w:rsid w:val="001A52F0"/>
    <w:rsid w:val="001A5930"/>
    <w:rsid w:val="001A65DE"/>
    <w:rsid w:val="001A7857"/>
    <w:rsid w:val="001A7C9B"/>
    <w:rsid w:val="001B03E4"/>
    <w:rsid w:val="001B0EF3"/>
    <w:rsid w:val="001B2B09"/>
    <w:rsid w:val="001B6036"/>
    <w:rsid w:val="001B7040"/>
    <w:rsid w:val="001B725A"/>
    <w:rsid w:val="001C070B"/>
    <w:rsid w:val="001C0F3E"/>
    <w:rsid w:val="001C1899"/>
    <w:rsid w:val="001C2678"/>
    <w:rsid w:val="001C2742"/>
    <w:rsid w:val="001C3CE9"/>
    <w:rsid w:val="001C444D"/>
    <w:rsid w:val="001C522F"/>
    <w:rsid w:val="001C7CA1"/>
    <w:rsid w:val="001D0439"/>
    <w:rsid w:val="001D1276"/>
    <w:rsid w:val="001D3629"/>
    <w:rsid w:val="001D399B"/>
    <w:rsid w:val="001D430D"/>
    <w:rsid w:val="001D47EE"/>
    <w:rsid w:val="001D49B8"/>
    <w:rsid w:val="001D4EB0"/>
    <w:rsid w:val="001D5215"/>
    <w:rsid w:val="001D701F"/>
    <w:rsid w:val="001D778E"/>
    <w:rsid w:val="001D79CA"/>
    <w:rsid w:val="001E0E2E"/>
    <w:rsid w:val="001E1119"/>
    <w:rsid w:val="001E176E"/>
    <w:rsid w:val="001E1804"/>
    <w:rsid w:val="001E20FB"/>
    <w:rsid w:val="001E27B9"/>
    <w:rsid w:val="001E3499"/>
    <w:rsid w:val="001E4446"/>
    <w:rsid w:val="001E4692"/>
    <w:rsid w:val="001E47F8"/>
    <w:rsid w:val="001E5B14"/>
    <w:rsid w:val="001E6E64"/>
    <w:rsid w:val="001F0D96"/>
    <w:rsid w:val="001F42FD"/>
    <w:rsid w:val="001F4685"/>
    <w:rsid w:val="001F5ED4"/>
    <w:rsid w:val="001F655F"/>
    <w:rsid w:val="001F7DFC"/>
    <w:rsid w:val="002026E2"/>
    <w:rsid w:val="002052E6"/>
    <w:rsid w:val="00206399"/>
    <w:rsid w:val="002064F3"/>
    <w:rsid w:val="0020727E"/>
    <w:rsid w:val="00207EDE"/>
    <w:rsid w:val="002114AC"/>
    <w:rsid w:val="00211C14"/>
    <w:rsid w:val="00212A25"/>
    <w:rsid w:val="0021496A"/>
    <w:rsid w:val="00214B0C"/>
    <w:rsid w:val="00216CEC"/>
    <w:rsid w:val="0022020E"/>
    <w:rsid w:val="00220A05"/>
    <w:rsid w:val="00220EBB"/>
    <w:rsid w:val="00221AB1"/>
    <w:rsid w:val="0022205D"/>
    <w:rsid w:val="00223747"/>
    <w:rsid w:val="00224F04"/>
    <w:rsid w:val="00225DFF"/>
    <w:rsid w:val="00225E7C"/>
    <w:rsid w:val="00226169"/>
    <w:rsid w:val="0022736E"/>
    <w:rsid w:val="00227629"/>
    <w:rsid w:val="002277CD"/>
    <w:rsid w:val="002305C3"/>
    <w:rsid w:val="00231D8B"/>
    <w:rsid w:val="002327FF"/>
    <w:rsid w:val="00232A26"/>
    <w:rsid w:val="00232A39"/>
    <w:rsid w:val="00232A52"/>
    <w:rsid w:val="00233494"/>
    <w:rsid w:val="00235B93"/>
    <w:rsid w:val="0023655B"/>
    <w:rsid w:val="002371DA"/>
    <w:rsid w:val="00241B7F"/>
    <w:rsid w:val="00242395"/>
    <w:rsid w:val="002435F2"/>
    <w:rsid w:val="002441AF"/>
    <w:rsid w:val="00244620"/>
    <w:rsid w:val="00244951"/>
    <w:rsid w:val="00246843"/>
    <w:rsid w:val="0024709A"/>
    <w:rsid w:val="002474FF"/>
    <w:rsid w:val="002477AE"/>
    <w:rsid w:val="0024797F"/>
    <w:rsid w:val="00247A4A"/>
    <w:rsid w:val="00250F14"/>
    <w:rsid w:val="00251B13"/>
    <w:rsid w:val="00252852"/>
    <w:rsid w:val="00252B5A"/>
    <w:rsid w:val="00252F4E"/>
    <w:rsid w:val="00253345"/>
    <w:rsid w:val="00253386"/>
    <w:rsid w:val="002535B1"/>
    <w:rsid w:val="002543D9"/>
    <w:rsid w:val="00255D7F"/>
    <w:rsid w:val="002600CC"/>
    <w:rsid w:val="00261284"/>
    <w:rsid w:val="002627D0"/>
    <w:rsid w:val="0026357A"/>
    <w:rsid w:val="00263D19"/>
    <w:rsid w:val="00270A01"/>
    <w:rsid w:val="00270F26"/>
    <w:rsid w:val="00272AE1"/>
    <w:rsid w:val="00274FFA"/>
    <w:rsid w:val="00275EEB"/>
    <w:rsid w:val="00276382"/>
    <w:rsid w:val="002767B7"/>
    <w:rsid w:val="00276E11"/>
    <w:rsid w:val="00277402"/>
    <w:rsid w:val="002807D4"/>
    <w:rsid w:val="00280B3B"/>
    <w:rsid w:val="0028159C"/>
    <w:rsid w:val="00281D85"/>
    <w:rsid w:val="0028257D"/>
    <w:rsid w:val="0028263E"/>
    <w:rsid w:val="002828C1"/>
    <w:rsid w:val="00282C6C"/>
    <w:rsid w:val="00282E08"/>
    <w:rsid w:val="0028468E"/>
    <w:rsid w:val="00284D89"/>
    <w:rsid w:val="00285522"/>
    <w:rsid w:val="00286394"/>
    <w:rsid w:val="00287B0D"/>
    <w:rsid w:val="002916F7"/>
    <w:rsid w:val="00291CBC"/>
    <w:rsid w:val="00291CCE"/>
    <w:rsid w:val="00292720"/>
    <w:rsid w:val="00292D39"/>
    <w:rsid w:val="00295CB2"/>
    <w:rsid w:val="00296085"/>
    <w:rsid w:val="00297209"/>
    <w:rsid w:val="0029734C"/>
    <w:rsid w:val="00297482"/>
    <w:rsid w:val="00297C5D"/>
    <w:rsid w:val="002A20F0"/>
    <w:rsid w:val="002A27D0"/>
    <w:rsid w:val="002A370B"/>
    <w:rsid w:val="002A6072"/>
    <w:rsid w:val="002A62A0"/>
    <w:rsid w:val="002A6732"/>
    <w:rsid w:val="002A728B"/>
    <w:rsid w:val="002A734C"/>
    <w:rsid w:val="002B0186"/>
    <w:rsid w:val="002B0D31"/>
    <w:rsid w:val="002B0D9A"/>
    <w:rsid w:val="002B1307"/>
    <w:rsid w:val="002B1820"/>
    <w:rsid w:val="002B1CE2"/>
    <w:rsid w:val="002B22CA"/>
    <w:rsid w:val="002B30BD"/>
    <w:rsid w:val="002B35E4"/>
    <w:rsid w:val="002B4847"/>
    <w:rsid w:val="002B53C5"/>
    <w:rsid w:val="002B6F34"/>
    <w:rsid w:val="002B79AF"/>
    <w:rsid w:val="002B7E27"/>
    <w:rsid w:val="002C0097"/>
    <w:rsid w:val="002C0773"/>
    <w:rsid w:val="002C09EA"/>
    <w:rsid w:val="002C1BC3"/>
    <w:rsid w:val="002C2641"/>
    <w:rsid w:val="002C2F11"/>
    <w:rsid w:val="002C34B3"/>
    <w:rsid w:val="002C3737"/>
    <w:rsid w:val="002C4FEB"/>
    <w:rsid w:val="002C6038"/>
    <w:rsid w:val="002C65F0"/>
    <w:rsid w:val="002C700C"/>
    <w:rsid w:val="002C7330"/>
    <w:rsid w:val="002C781B"/>
    <w:rsid w:val="002C7CD8"/>
    <w:rsid w:val="002D3E00"/>
    <w:rsid w:val="002D501B"/>
    <w:rsid w:val="002D511D"/>
    <w:rsid w:val="002D59FE"/>
    <w:rsid w:val="002E04A4"/>
    <w:rsid w:val="002E21CB"/>
    <w:rsid w:val="002E26B6"/>
    <w:rsid w:val="002E4B45"/>
    <w:rsid w:val="002E52A8"/>
    <w:rsid w:val="002E6C1C"/>
    <w:rsid w:val="002E760B"/>
    <w:rsid w:val="002E7A9F"/>
    <w:rsid w:val="002F2367"/>
    <w:rsid w:val="002F2CC9"/>
    <w:rsid w:val="002F38F6"/>
    <w:rsid w:val="002F3D23"/>
    <w:rsid w:val="002F447C"/>
    <w:rsid w:val="002F6386"/>
    <w:rsid w:val="002F69B5"/>
    <w:rsid w:val="002F78A0"/>
    <w:rsid w:val="00300018"/>
    <w:rsid w:val="00303767"/>
    <w:rsid w:val="00304584"/>
    <w:rsid w:val="00304696"/>
    <w:rsid w:val="00305070"/>
    <w:rsid w:val="00305872"/>
    <w:rsid w:val="00306B84"/>
    <w:rsid w:val="0030719E"/>
    <w:rsid w:val="00310099"/>
    <w:rsid w:val="00310C2F"/>
    <w:rsid w:val="00311F75"/>
    <w:rsid w:val="00312B24"/>
    <w:rsid w:val="003130ED"/>
    <w:rsid w:val="00313165"/>
    <w:rsid w:val="00313AD9"/>
    <w:rsid w:val="003145EB"/>
    <w:rsid w:val="00314D0B"/>
    <w:rsid w:val="0031539A"/>
    <w:rsid w:val="00315C50"/>
    <w:rsid w:val="0031611E"/>
    <w:rsid w:val="00316345"/>
    <w:rsid w:val="003166B2"/>
    <w:rsid w:val="003175CD"/>
    <w:rsid w:val="003178D4"/>
    <w:rsid w:val="00317AAA"/>
    <w:rsid w:val="00320198"/>
    <w:rsid w:val="0032069B"/>
    <w:rsid w:val="00320E03"/>
    <w:rsid w:val="00322ACF"/>
    <w:rsid w:val="0032367E"/>
    <w:rsid w:val="0032453C"/>
    <w:rsid w:val="00326F08"/>
    <w:rsid w:val="003307FA"/>
    <w:rsid w:val="00330ECC"/>
    <w:rsid w:val="003315F0"/>
    <w:rsid w:val="003315F3"/>
    <w:rsid w:val="00331655"/>
    <w:rsid w:val="00332067"/>
    <w:rsid w:val="003321F5"/>
    <w:rsid w:val="00333D06"/>
    <w:rsid w:val="003349C9"/>
    <w:rsid w:val="003354C9"/>
    <w:rsid w:val="003407B6"/>
    <w:rsid w:val="00340E69"/>
    <w:rsid w:val="00341865"/>
    <w:rsid w:val="00341B94"/>
    <w:rsid w:val="00344063"/>
    <w:rsid w:val="00347281"/>
    <w:rsid w:val="00350051"/>
    <w:rsid w:val="00350212"/>
    <w:rsid w:val="00350777"/>
    <w:rsid w:val="00350F81"/>
    <w:rsid w:val="0035249C"/>
    <w:rsid w:val="003548CC"/>
    <w:rsid w:val="003550A3"/>
    <w:rsid w:val="00355484"/>
    <w:rsid w:val="003554E1"/>
    <w:rsid w:val="00355DBE"/>
    <w:rsid w:val="00356467"/>
    <w:rsid w:val="00356ACB"/>
    <w:rsid w:val="003602FE"/>
    <w:rsid w:val="0036043B"/>
    <w:rsid w:val="0036129E"/>
    <w:rsid w:val="003613A2"/>
    <w:rsid w:val="00361811"/>
    <w:rsid w:val="00361F01"/>
    <w:rsid w:val="003639CC"/>
    <w:rsid w:val="00363F27"/>
    <w:rsid w:val="00364264"/>
    <w:rsid w:val="00366395"/>
    <w:rsid w:val="00367A04"/>
    <w:rsid w:val="003700F5"/>
    <w:rsid w:val="00371696"/>
    <w:rsid w:val="003718BF"/>
    <w:rsid w:val="00371ABF"/>
    <w:rsid w:val="00371CBC"/>
    <w:rsid w:val="00371E6E"/>
    <w:rsid w:val="00371F5B"/>
    <w:rsid w:val="003722F2"/>
    <w:rsid w:val="00373B07"/>
    <w:rsid w:val="003745A4"/>
    <w:rsid w:val="003756B5"/>
    <w:rsid w:val="00375973"/>
    <w:rsid w:val="00375D2F"/>
    <w:rsid w:val="00376889"/>
    <w:rsid w:val="00376CA9"/>
    <w:rsid w:val="0038003F"/>
    <w:rsid w:val="003804C2"/>
    <w:rsid w:val="003829E1"/>
    <w:rsid w:val="00382DEF"/>
    <w:rsid w:val="00382E96"/>
    <w:rsid w:val="003833EF"/>
    <w:rsid w:val="0038392C"/>
    <w:rsid w:val="00385EE8"/>
    <w:rsid w:val="003868E7"/>
    <w:rsid w:val="00390029"/>
    <w:rsid w:val="003913C9"/>
    <w:rsid w:val="00391794"/>
    <w:rsid w:val="00391B1E"/>
    <w:rsid w:val="00391FF5"/>
    <w:rsid w:val="00392E8E"/>
    <w:rsid w:val="00393228"/>
    <w:rsid w:val="003934D5"/>
    <w:rsid w:val="003936F6"/>
    <w:rsid w:val="00393AC7"/>
    <w:rsid w:val="0039402E"/>
    <w:rsid w:val="003951A8"/>
    <w:rsid w:val="0039560A"/>
    <w:rsid w:val="003977A8"/>
    <w:rsid w:val="003A06A2"/>
    <w:rsid w:val="003A0926"/>
    <w:rsid w:val="003A0F45"/>
    <w:rsid w:val="003A1106"/>
    <w:rsid w:val="003A26FC"/>
    <w:rsid w:val="003A2DCD"/>
    <w:rsid w:val="003A375C"/>
    <w:rsid w:val="003A53AD"/>
    <w:rsid w:val="003A6625"/>
    <w:rsid w:val="003A6949"/>
    <w:rsid w:val="003A6CD5"/>
    <w:rsid w:val="003A7789"/>
    <w:rsid w:val="003B17AE"/>
    <w:rsid w:val="003B1D40"/>
    <w:rsid w:val="003B22AA"/>
    <w:rsid w:val="003B22AC"/>
    <w:rsid w:val="003B3A3C"/>
    <w:rsid w:val="003B4A25"/>
    <w:rsid w:val="003B52F8"/>
    <w:rsid w:val="003B620F"/>
    <w:rsid w:val="003B7149"/>
    <w:rsid w:val="003C0495"/>
    <w:rsid w:val="003C218A"/>
    <w:rsid w:val="003C2DD2"/>
    <w:rsid w:val="003C39CD"/>
    <w:rsid w:val="003C525B"/>
    <w:rsid w:val="003C5AD3"/>
    <w:rsid w:val="003C5FA5"/>
    <w:rsid w:val="003C6B19"/>
    <w:rsid w:val="003C781F"/>
    <w:rsid w:val="003D03AE"/>
    <w:rsid w:val="003D05C0"/>
    <w:rsid w:val="003D0C45"/>
    <w:rsid w:val="003D147D"/>
    <w:rsid w:val="003D263D"/>
    <w:rsid w:val="003D28EF"/>
    <w:rsid w:val="003D34EE"/>
    <w:rsid w:val="003D3CD5"/>
    <w:rsid w:val="003D4AF5"/>
    <w:rsid w:val="003D4D98"/>
    <w:rsid w:val="003D4FBD"/>
    <w:rsid w:val="003E0697"/>
    <w:rsid w:val="003E0ED3"/>
    <w:rsid w:val="003E1009"/>
    <w:rsid w:val="003E113B"/>
    <w:rsid w:val="003E1308"/>
    <w:rsid w:val="003E2144"/>
    <w:rsid w:val="003E31C8"/>
    <w:rsid w:val="003E34E8"/>
    <w:rsid w:val="003E3541"/>
    <w:rsid w:val="003E3AEB"/>
    <w:rsid w:val="003E51B4"/>
    <w:rsid w:val="003E5DA6"/>
    <w:rsid w:val="003E61E6"/>
    <w:rsid w:val="003E757B"/>
    <w:rsid w:val="003F05C2"/>
    <w:rsid w:val="003F0CBD"/>
    <w:rsid w:val="003F18B0"/>
    <w:rsid w:val="003F2DFA"/>
    <w:rsid w:val="003F513F"/>
    <w:rsid w:val="003F59EB"/>
    <w:rsid w:val="003F6242"/>
    <w:rsid w:val="003F6901"/>
    <w:rsid w:val="003F6F1C"/>
    <w:rsid w:val="003F7066"/>
    <w:rsid w:val="004022FB"/>
    <w:rsid w:val="00403B06"/>
    <w:rsid w:val="0040443B"/>
    <w:rsid w:val="00404885"/>
    <w:rsid w:val="00404B1E"/>
    <w:rsid w:val="004051AA"/>
    <w:rsid w:val="0040644F"/>
    <w:rsid w:val="00406D38"/>
    <w:rsid w:val="004075DE"/>
    <w:rsid w:val="004075F9"/>
    <w:rsid w:val="00407DC5"/>
    <w:rsid w:val="00407E6D"/>
    <w:rsid w:val="0041150F"/>
    <w:rsid w:val="00415563"/>
    <w:rsid w:val="00416B42"/>
    <w:rsid w:val="00417D71"/>
    <w:rsid w:val="00421126"/>
    <w:rsid w:val="00422ED4"/>
    <w:rsid w:val="004232C8"/>
    <w:rsid w:val="004232F4"/>
    <w:rsid w:val="00423529"/>
    <w:rsid w:val="00424CCA"/>
    <w:rsid w:val="00424FAC"/>
    <w:rsid w:val="004313E3"/>
    <w:rsid w:val="00431443"/>
    <w:rsid w:val="00431D67"/>
    <w:rsid w:val="0043334E"/>
    <w:rsid w:val="00434ACB"/>
    <w:rsid w:val="004364DA"/>
    <w:rsid w:val="00437EC8"/>
    <w:rsid w:val="00440F0D"/>
    <w:rsid w:val="004413DC"/>
    <w:rsid w:val="00442944"/>
    <w:rsid w:val="00442ABD"/>
    <w:rsid w:val="004430BB"/>
    <w:rsid w:val="004434CD"/>
    <w:rsid w:val="00443AB5"/>
    <w:rsid w:val="004449C7"/>
    <w:rsid w:val="00444D9B"/>
    <w:rsid w:val="00445A10"/>
    <w:rsid w:val="00446005"/>
    <w:rsid w:val="004466A5"/>
    <w:rsid w:val="00446D06"/>
    <w:rsid w:val="00450F3C"/>
    <w:rsid w:val="004511EA"/>
    <w:rsid w:val="00451779"/>
    <w:rsid w:val="0045332C"/>
    <w:rsid w:val="0045336F"/>
    <w:rsid w:val="004541BC"/>
    <w:rsid w:val="0045720B"/>
    <w:rsid w:val="0046126C"/>
    <w:rsid w:val="0046141C"/>
    <w:rsid w:val="00462DE0"/>
    <w:rsid w:val="00465B35"/>
    <w:rsid w:val="00467633"/>
    <w:rsid w:val="00470D89"/>
    <w:rsid w:val="0047127A"/>
    <w:rsid w:val="00471701"/>
    <w:rsid w:val="0047232A"/>
    <w:rsid w:val="00474652"/>
    <w:rsid w:val="004749C5"/>
    <w:rsid w:val="00474CE1"/>
    <w:rsid w:val="00475BAD"/>
    <w:rsid w:val="00476761"/>
    <w:rsid w:val="00477172"/>
    <w:rsid w:val="004810D3"/>
    <w:rsid w:val="004815B8"/>
    <w:rsid w:val="00481EFA"/>
    <w:rsid w:val="0048203E"/>
    <w:rsid w:val="004845C3"/>
    <w:rsid w:val="00484914"/>
    <w:rsid w:val="0048518A"/>
    <w:rsid w:val="00485549"/>
    <w:rsid w:val="00485F9C"/>
    <w:rsid w:val="0048600C"/>
    <w:rsid w:val="00486D65"/>
    <w:rsid w:val="0048708F"/>
    <w:rsid w:val="00491B1F"/>
    <w:rsid w:val="004924D3"/>
    <w:rsid w:val="0049296A"/>
    <w:rsid w:val="00492A9A"/>
    <w:rsid w:val="00493088"/>
    <w:rsid w:val="00493188"/>
    <w:rsid w:val="00493515"/>
    <w:rsid w:val="00494343"/>
    <w:rsid w:val="004943FB"/>
    <w:rsid w:val="00494BC6"/>
    <w:rsid w:val="004952A5"/>
    <w:rsid w:val="00495427"/>
    <w:rsid w:val="00496F21"/>
    <w:rsid w:val="0049723C"/>
    <w:rsid w:val="004976BE"/>
    <w:rsid w:val="00497BAF"/>
    <w:rsid w:val="004A029F"/>
    <w:rsid w:val="004A0FEB"/>
    <w:rsid w:val="004A1590"/>
    <w:rsid w:val="004A366E"/>
    <w:rsid w:val="004A3EFC"/>
    <w:rsid w:val="004A3F0A"/>
    <w:rsid w:val="004A4E61"/>
    <w:rsid w:val="004A581B"/>
    <w:rsid w:val="004A60A0"/>
    <w:rsid w:val="004A6AFF"/>
    <w:rsid w:val="004A7606"/>
    <w:rsid w:val="004B1F65"/>
    <w:rsid w:val="004B2A46"/>
    <w:rsid w:val="004B3516"/>
    <w:rsid w:val="004B4EE0"/>
    <w:rsid w:val="004B604B"/>
    <w:rsid w:val="004B68AA"/>
    <w:rsid w:val="004C079A"/>
    <w:rsid w:val="004C30CC"/>
    <w:rsid w:val="004C3669"/>
    <w:rsid w:val="004C4A45"/>
    <w:rsid w:val="004C4FAA"/>
    <w:rsid w:val="004C5976"/>
    <w:rsid w:val="004C6C01"/>
    <w:rsid w:val="004C6D45"/>
    <w:rsid w:val="004C6D59"/>
    <w:rsid w:val="004C754A"/>
    <w:rsid w:val="004D0A97"/>
    <w:rsid w:val="004D1AA9"/>
    <w:rsid w:val="004D1E47"/>
    <w:rsid w:val="004D25F5"/>
    <w:rsid w:val="004D3293"/>
    <w:rsid w:val="004D3CFA"/>
    <w:rsid w:val="004D5ABE"/>
    <w:rsid w:val="004D5CD2"/>
    <w:rsid w:val="004D6997"/>
    <w:rsid w:val="004D7A1F"/>
    <w:rsid w:val="004E2F2C"/>
    <w:rsid w:val="004E386F"/>
    <w:rsid w:val="004E45ED"/>
    <w:rsid w:val="004E5F9F"/>
    <w:rsid w:val="004F0177"/>
    <w:rsid w:val="004F13A3"/>
    <w:rsid w:val="004F1B00"/>
    <w:rsid w:val="004F33B9"/>
    <w:rsid w:val="004F37E2"/>
    <w:rsid w:val="004F404F"/>
    <w:rsid w:val="004F49E1"/>
    <w:rsid w:val="004F4E1A"/>
    <w:rsid w:val="004F502A"/>
    <w:rsid w:val="004F54C7"/>
    <w:rsid w:val="004F5FED"/>
    <w:rsid w:val="004F7BD0"/>
    <w:rsid w:val="00500873"/>
    <w:rsid w:val="00502DD7"/>
    <w:rsid w:val="0050427D"/>
    <w:rsid w:val="00504F49"/>
    <w:rsid w:val="0050510B"/>
    <w:rsid w:val="005074AE"/>
    <w:rsid w:val="0050773C"/>
    <w:rsid w:val="005078C1"/>
    <w:rsid w:val="0051006C"/>
    <w:rsid w:val="0051033D"/>
    <w:rsid w:val="00512967"/>
    <w:rsid w:val="00512AAA"/>
    <w:rsid w:val="0051463F"/>
    <w:rsid w:val="00515C6D"/>
    <w:rsid w:val="00515CF1"/>
    <w:rsid w:val="0051648F"/>
    <w:rsid w:val="00516B2A"/>
    <w:rsid w:val="00516DCF"/>
    <w:rsid w:val="00520018"/>
    <w:rsid w:val="00520A46"/>
    <w:rsid w:val="00520D19"/>
    <w:rsid w:val="00521EE0"/>
    <w:rsid w:val="0052238D"/>
    <w:rsid w:val="0052338F"/>
    <w:rsid w:val="00524993"/>
    <w:rsid w:val="005252E7"/>
    <w:rsid w:val="00525C82"/>
    <w:rsid w:val="00526224"/>
    <w:rsid w:val="005263A5"/>
    <w:rsid w:val="00527C29"/>
    <w:rsid w:val="00530EF6"/>
    <w:rsid w:val="0053147B"/>
    <w:rsid w:val="00531DA5"/>
    <w:rsid w:val="00531EC7"/>
    <w:rsid w:val="00532476"/>
    <w:rsid w:val="0053278B"/>
    <w:rsid w:val="00533188"/>
    <w:rsid w:val="00533D5B"/>
    <w:rsid w:val="00534DA7"/>
    <w:rsid w:val="00534F85"/>
    <w:rsid w:val="00535ABE"/>
    <w:rsid w:val="00535E8F"/>
    <w:rsid w:val="0053641D"/>
    <w:rsid w:val="0053659D"/>
    <w:rsid w:val="00540077"/>
    <w:rsid w:val="00541149"/>
    <w:rsid w:val="00542D8A"/>
    <w:rsid w:val="005436A5"/>
    <w:rsid w:val="0054412C"/>
    <w:rsid w:val="005461AB"/>
    <w:rsid w:val="00547937"/>
    <w:rsid w:val="005501F8"/>
    <w:rsid w:val="0055022B"/>
    <w:rsid w:val="005504B0"/>
    <w:rsid w:val="00550587"/>
    <w:rsid w:val="00551428"/>
    <w:rsid w:val="0055171A"/>
    <w:rsid w:val="0055246F"/>
    <w:rsid w:val="00553FB2"/>
    <w:rsid w:val="0055479D"/>
    <w:rsid w:val="00556F63"/>
    <w:rsid w:val="00560201"/>
    <w:rsid w:val="005607E0"/>
    <w:rsid w:val="0056104B"/>
    <w:rsid w:val="00561BF4"/>
    <w:rsid w:val="00561E3A"/>
    <w:rsid w:val="00561FB0"/>
    <w:rsid w:val="0056283C"/>
    <w:rsid w:val="00563E85"/>
    <w:rsid w:val="00565E47"/>
    <w:rsid w:val="00566E76"/>
    <w:rsid w:val="0056762C"/>
    <w:rsid w:val="00567C33"/>
    <w:rsid w:val="005721C1"/>
    <w:rsid w:val="00572715"/>
    <w:rsid w:val="0057271F"/>
    <w:rsid w:val="00572DED"/>
    <w:rsid w:val="00573CC9"/>
    <w:rsid w:val="0057510C"/>
    <w:rsid w:val="00575DA2"/>
    <w:rsid w:val="005762E7"/>
    <w:rsid w:val="005764F5"/>
    <w:rsid w:val="00576DDB"/>
    <w:rsid w:val="00576F66"/>
    <w:rsid w:val="00577670"/>
    <w:rsid w:val="00580034"/>
    <w:rsid w:val="00581834"/>
    <w:rsid w:val="00581BC6"/>
    <w:rsid w:val="005826CF"/>
    <w:rsid w:val="0059159C"/>
    <w:rsid w:val="00591973"/>
    <w:rsid w:val="00592396"/>
    <w:rsid w:val="005924C0"/>
    <w:rsid w:val="00592DEB"/>
    <w:rsid w:val="00593877"/>
    <w:rsid w:val="0059478C"/>
    <w:rsid w:val="00596C7B"/>
    <w:rsid w:val="0059737E"/>
    <w:rsid w:val="0059756F"/>
    <w:rsid w:val="005A11D6"/>
    <w:rsid w:val="005A17A8"/>
    <w:rsid w:val="005A2997"/>
    <w:rsid w:val="005A4296"/>
    <w:rsid w:val="005A530E"/>
    <w:rsid w:val="005A59F6"/>
    <w:rsid w:val="005A5C83"/>
    <w:rsid w:val="005A5CAE"/>
    <w:rsid w:val="005A66E8"/>
    <w:rsid w:val="005A6A50"/>
    <w:rsid w:val="005A6D96"/>
    <w:rsid w:val="005A7072"/>
    <w:rsid w:val="005A788D"/>
    <w:rsid w:val="005A7A0C"/>
    <w:rsid w:val="005A7B3E"/>
    <w:rsid w:val="005B00CC"/>
    <w:rsid w:val="005B0E82"/>
    <w:rsid w:val="005B21D5"/>
    <w:rsid w:val="005B267F"/>
    <w:rsid w:val="005B362E"/>
    <w:rsid w:val="005B3FCC"/>
    <w:rsid w:val="005B4743"/>
    <w:rsid w:val="005B50E2"/>
    <w:rsid w:val="005B578F"/>
    <w:rsid w:val="005B58BF"/>
    <w:rsid w:val="005B5DEE"/>
    <w:rsid w:val="005B696C"/>
    <w:rsid w:val="005B76B0"/>
    <w:rsid w:val="005C0330"/>
    <w:rsid w:val="005C105F"/>
    <w:rsid w:val="005C1431"/>
    <w:rsid w:val="005C228C"/>
    <w:rsid w:val="005C2712"/>
    <w:rsid w:val="005C5AD2"/>
    <w:rsid w:val="005C6BCC"/>
    <w:rsid w:val="005D0147"/>
    <w:rsid w:val="005D0AA5"/>
    <w:rsid w:val="005D3645"/>
    <w:rsid w:val="005D56DC"/>
    <w:rsid w:val="005D6372"/>
    <w:rsid w:val="005D7F05"/>
    <w:rsid w:val="005E1876"/>
    <w:rsid w:val="005E1D62"/>
    <w:rsid w:val="005E2511"/>
    <w:rsid w:val="005E2C0D"/>
    <w:rsid w:val="005E2D93"/>
    <w:rsid w:val="005E4935"/>
    <w:rsid w:val="005E4EA2"/>
    <w:rsid w:val="005E676D"/>
    <w:rsid w:val="005E74D4"/>
    <w:rsid w:val="005E7B7B"/>
    <w:rsid w:val="005F17C5"/>
    <w:rsid w:val="005F4CB7"/>
    <w:rsid w:val="005F5247"/>
    <w:rsid w:val="005F5D64"/>
    <w:rsid w:val="005F61D0"/>
    <w:rsid w:val="005F7B96"/>
    <w:rsid w:val="00600009"/>
    <w:rsid w:val="00600468"/>
    <w:rsid w:val="00600F4A"/>
    <w:rsid w:val="0060117C"/>
    <w:rsid w:val="006014DB"/>
    <w:rsid w:val="00601EFA"/>
    <w:rsid w:val="00602376"/>
    <w:rsid w:val="0060288D"/>
    <w:rsid w:val="00602AD5"/>
    <w:rsid w:val="00604F72"/>
    <w:rsid w:val="00606119"/>
    <w:rsid w:val="006075BC"/>
    <w:rsid w:val="00610792"/>
    <w:rsid w:val="006113CD"/>
    <w:rsid w:val="00611557"/>
    <w:rsid w:val="00611A17"/>
    <w:rsid w:val="006133E5"/>
    <w:rsid w:val="00614174"/>
    <w:rsid w:val="006144C3"/>
    <w:rsid w:val="00615A17"/>
    <w:rsid w:val="006205ED"/>
    <w:rsid w:val="0062087A"/>
    <w:rsid w:val="00621092"/>
    <w:rsid w:val="006241C9"/>
    <w:rsid w:val="006246A7"/>
    <w:rsid w:val="0062566D"/>
    <w:rsid w:val="00625B32"/>
    <w:rsid w:val="00625F3D"/>
    <w:rsid w:val="00626BC1"/>
    <w:rsid w:val="00626DB7"/>
    <w:rsid w:val="00627022"/>
    <w:rsid w:val="006303EA"/>
    <w:rsid w:val="0063054D"/>
    <w:rsid w:val="00630AD0"/>
    <w:rsid w:val="00631356"/>
    <w:rsid w:val="00633BDA"/>
    <w:rsid w:val="0063457C"/>
    <w:rsid w:val="006351CD"/>
    <w:rsid w:val="006352A9"/>
    <w:rsid w:val="00637502"/>
    <w:rsid w:val="00637E8B"/>
    <w:rsid w:val="0064050B"/>
    <w:rsid w:val="00642EC0"/>
    <w:rsid w:val="0064327B"/>
    <w:rsid w:val="00644923"/>
    <w:rsid w:val="006460C4"/>
    <w:rsid w:val="00646A29"/>
    <w:rsid w:val="00646ED6"/>
    <w:rsid w:val="00650422"/>
    <w:rsid w:val="006517A3"/>
    <w:rsid w:val="006517E8"/>
    <w:rsid w:val="00652B35"/>
    <w:rsid w:val="00652E9E"/>
    <w:rsid w:val="006531CD"/>
    <w:rsid w:val="0065335C"/>
    <w:rsid w:val="00655841"/>
    <w:rsid w:val="00655E06"/>
    <w:rsid w:val="00656127"/>
    <w:rsid w:val="00656742"/>
    <w:rsid w:val="00656F1C"/>
    <w:rsid w:val="006570D0"/>
    <w:rsid w:val="00660C59"/>
    <w:rsid w:val="00660D2B"/>
    <w:rsid w:val="00660DCA"/>
    <w:rsid w:val="00663024"/>
    <w:rsid w:val="006631B0"/>
    <w:rsid w:val="0066449C"/>
    <w:rsid w:val="00664597"/>
    <w:rsid w:val="00666433"/>
    <w:rsid w:val="006669FE"/>
    <w:rsid w:val="006674A3"/>
    <w:rsid w:val="006678E5"/>
    <w:rsid w:val="00667BBE"/>
    <w:rsid w:val="0067161E"/>
    <w:rsid w:val="006728E0"/>
    <w:rsid w:val="00672E2A"/>
    <w:rsid w:val="00673C24"/>
    <w:rsid w:val="00677A5A"/>
    <w:rsid w:val="00677C41"/>
    <w:rsid w:val="00677C6C"/>
    <w:rsid w:val="00680F6B"/>
    <w:rsid w:val="00682485"/>
    <w:rsid w:val="006831E7"/>
    <w:rsid w:val="00684A68"/>
    <w:rsid w:val="00684DB1"/>
    <w:rsid w:val="00684F6D"/>
    <w:rsid w:val="00685270"/>
    <w:rsid w:val="00686972"/>
    <w:rsid w:val="00686C10"/>
    <w:rsid w:val="00687BF2"/>
    <w:rsid w:val="00687C5B"/>
    <w:rsid w:val="00687E65"/>
    <w:rsid w:val="00690644"/>
    <w:rsid w:val="00690E1F"/>
    <w:rsid w:val="00691336"/>
    <w:rsid w:val="006915B9"/>
    <w:rsid w:val="00691F3B"/>
    <w:rsid w:val="00692E9A"/>
    <w:rsid w:val="0069314B"/>
    <w:rsid w:val="00693C6C"/>
    <w:rsid w:val="00693D50"/>
    <w:rsid w:val="00693E3E"/>
    <w:rsid w:val="0069478E"/>
    <w:rsid w:val="00697B87"/>
    <w:rsid w:val="006A0218"/>
    <w:rsid w:val="006A0C66"/>
    <w:rsid w:val="006A26EC"/>
    <w:rsid w:val="006A29B3"/>
    <w:rsid w:val="006A2F94"/>
    <w:rsid w:val="006A46EF"/>
    <w:rsid w:val="006A4CD0"/>
    <w:rsid w:val="006A53F2"/>
    <w:rsid w:val="006A557F"/>
    <w:rsid w:val="006A6AB5"/>
    <w:rsid w:val="006A74E7"/>
    <w:rsid w:val="006A7F0F"/>
    <w:rsid w:val="006B0628"/>
    <w:rsid w:val="006B0DB8"/>
    <w:rsid w:val="006B163B"/>
    <w:rsid w:val="006B1EE0"/>
    <w:rsid w:val="006B2409"/>
    <w:rsid w:val="006B2B76"/>
    <w:rsid w:val="006B2F1F"/>
    <w:rsid w:val="006B3BF7"/>
    <w:rsid w:val="006B4632"/>
    <w:rsid w:val="006B4835"/>
    <w:rsid w:val="006B51B3"/>
    <w:rsid w:val="006B7F7A"/>
    <w:rsid w:val="006C13B4"/>
    <w:rsid w:val="006C1F18"/>
    <w:rsid w:val="006C2050"/>
    <w:rsid w:val="006C29D2"/>
    <w:rsid w:val="006C32C1"/>
    <w:rsid w:val="006C3EAE"/>
    <w:rsid w:val="006C40F4"/>
    <w:rsid w:val="006C48C7"/>
    <w:rsid w:val="006C48F0"/>
    <w:rsid w:val="006C576D"/>
    <w:rsid w:val="006C5C15"/>
    <w:rsid w:val="006C68C6"/>
    <w:rsid w:val="006C723E"/>
    <w:rsid w:val="006C741A"/>
    <w:rsid w:val="006C7A96"/>
    <w:rsid w:val="006D00E7"/>
    <w:rsid w:val="006D1F57"/>
    <w:rsid w:val="006D3B75"/>
    <w:rsid w:val="006D6A08"/>
    <w:rsid w:val="006D7233"/>
    <w:rsid w:val="006D7916"/>
    <w:rsid w:val="006D7C9B"/>
    <w:rsid w:val="006D7CB0"/>
    <w:rsid w:val="006E00BC"/>
    <w:rsid w:val="006E28E3"/>
    <w:rsid w:val="006E37E0"/>
    <w:rsid w:val="006E41C7"/>
    <w:rsid w:val="006E4B83"/>
    <w:rsid w:val="006E4E92"/>
    <w:rsid w:val="006E637A"/>
    <w:rsid w:val="006E789A"/>
    <w:rsid w:val="006F055F"/>
    <w:rsid w:val="006F0812"/>
    <w:rsid w:val="006F1A12"/>
    <w:rsid w:val="006F2085"/>
    <w:rsid w:val="006F4A38"/>
    <w:rsid w:val="006F4F5E"/>
    <w:rsid w:val="006F5C9E"/>
    <w:rsid w:val="006F6518"/>
    <w:rsid w:val="006F7807"/>
    <w:rsid w:val="007004F9"/>
    <w:rsid w:val="00701C21"/>
    <w:rsid w:val="007020E8"/>
    <w:rsid w:val="0070295C"/>
    <w:rsid w:val="00703C50"/>
    <w:rsid w:val="00703D77"/>
    <w:rsid w:val="00704036"/>
    <w:rsid w:val="00705682"/>
    <w:rsid w:val="00706684"/>
    <w:rsid w:val="00712E98"/>
    <w:rsid w:val="007134BB"/>
    <w:rsid w:val="00713E8F"/>
    <w:rsid w:val="00715B35"/>
    <w:rsid w:val="00716686"/>
    <w:rsid w:val="0072104C"/>
    <w:rsid w:val="00723E39"/>
    <w:rsid w:val="007255D3"/>
    <w:rsid w:val="0072583F"/>
    <w:rsid w:val="00727B78"/>
    <w:rsid w:val="00730218"/>
    <w:rsid w:val="0073088A"/>
    <w:rsid w:val="00730BEF"/>
    <w:rsid w:val="00730F2A"/>
    <w:rsid w:val="00731399"/>
    <w:rsid w:val="00731401"/>
    <w:rsid w:val="00731739"/>
    <w:rsid w:val="00732DFE"/>
    <w:rsid w:val="00733B30"/>
    <w:rsid w:val="00733DB3"/>
    <w:rsid w:val="00733F78"/>
    <w:rsid w:val="00737AF7"/>
    <w:rsid w:val="00740483"/>
    <w:rsid w:val="00741174"/>
    <w:rsid w:val="00741E7A"/>
    <w:rsid w:val="00742B90"/>
    <w:rsid w:val="00742CD4"/>
    <w:rsid w:val="00743B55"/>
    <w:rsid w:val="00743E20"/>
    <w:rsid w:val="0074519D"/>
    <w:rsid w:val="007467A3"/>
    <w:rsid w:val="0075005B"/>
    <w:rsid w:val="0075045F"/>
    <w:rsid w:val="00754C07"/>
    <w:rsid w:val="007552B1"/>
    <w:rsid w:val="0075683A"/>
    <w:rsid w:val="007604CC"/>
    <w:rsid w:val="0076130A"/>
    <w:rsid w:val="00761783"/>
    <w:rsid w:val="00762CF6"/>
    <w:rsid w:val="00763A85"/>
    <w:rsid w:val="007642D6"/>
    <w:rsid w:val="00764718"/>
    <w:rsid w:val="00765F3A"/>
    <w:rsid w:val="007724AA"/>
    <w:rsid w:val="007727BE"/>
    <w:rsid w:val="00772AD8"/>
    <w:rsid w:val="00774F39"/>
    <w:rsid w:val="00776A44"/>
    <w:rsid w:val="00776F8F"/>
    <w:rsid w:val="00780AEB"/>
    <w:rsid w:val="00780F03"/>
    <w:rsid w:val="0078183D"/>
    <w:rsid w:val="0078196B"/>
    <w:rsid w:val="00781C3E"/>
    <w:rsid w:val="00781D1F"/>
    <w:rsid w:val="00781EA2"/>
    <w:rsid w:val="00781EF4"/>
    <w:rsid w:val="0078294F"/>
    <w:rsid w:val="00782F02"/>
    <w:rsid w:val="00783126"/>
    <w:rsid w:val="007836B5"/>
    <w:rsid w:val="00784A28"/>
    <w:rsid w:val="00785B56"/>
    <w:rsid w:val="00790F23"/>
    <w:rsid w:val="00791C19"/>
    <w:rsid w:val="00792201"/>
    <w:rsid w:val="00792C5C"/>
    <w:rsid w:val="00793CAE"/>
    <w:rsid w:val="0079503C"/>
    <w:rsid w:val="00796B81"/>
    <w:rsid w:val="0079721C"/>
    <w:rsid w:val="00797DFA"/>
    <w:rsid w:val="007A04C6"/>
    <w:rsid w:val="007A04F8"/>
    <w:rsid w:val="007A08D1"/>
    <w:rsid w:val="007A0D35"/>
    <w:rsid w:val="007A2E7A"/>
    <w:rsid w:val="007A30DD"/>
    <w:rsid w:val="007A3CE8"/>
    <w:rsid w:val="007A4150"/>
    <w:rsid w:val="007A4537"/>
    <w:rsid w:val="007A5EE8"/>
    <w:rsid w:val="007A71BE"/>
    <w:rsid w:val="007A71E4"/>
    <w:rsid w:val="007B0469"/>
    <w:rsid w:val="007B08DF"/>
    <w:rsid w:val="007B3208"/>
    <w:rsid w:val="007B442A"/>
    <w:rsid w:val="007B5169"/>
    <w:rsid w:val="007B58EE"/>
    <w:rsid w:val="007B6F9C"/>
    <w:rsid w:val="007B7CD8"/>
    <w:rsid w:val="007C06FC"/>
    <w:rsid w:val="007C08F4"/>
    <w:rsid w:val="007C1A72"/>
    <w:rsid w:val="007C2D0A"/>
    <w:rsid w:val="007C2E02"/>
    <w:rsid w:val="007C37D5"/>
    <w:rsid w:val="007C539A"/>
    <w:rsid w:val="007C5C4D"/>
    <w:rsid w:val="007C5F62"/>
    <w:rsid w:val="007C6AEA"/>
    <w:rsid w:val="007C6F04"/>
    <w:rsid w:val="007D031E"/>
    <w:rsid w:val="007D048A"/>
    <w:rsid w:val="007D47B7"/>
    <w:rsid w:val="007D4A98"/>
    <w:rsid w:val="007D4E4E"/>
    <w:rsid w:val="007D5901"/>
    <w:rsid w:val="007D7F0B"/>
    <w:rsid w:val="007E0887"/>
    <w:rsid w:val="007E1DCA"/>
    <w:rsid w:val="007E32EF"/>
    <w:rsid w:val="007E4097"/>
    <w:rsid w:val="007E564E"/>
    <w:rsid w:val="007E61C0"/>
    <w:rsid w:val="007E6CE8"/>
    <w:rsid w:val="007E7640"/>
    <w:rsid w:val="007E7787"/>
    <w:rsid w:val="007F053F"/>
    <w:rsid w:val="007F15EC"/>
    <w:rsid w:val="007F3CDC"/>
    <w:rsid w:val="007F3DD0"/>
    <w:rsid w:val="007F3E37"/>
    <w:rsid w:val="007F4DB8"/>
    <w:rsid w:val="007F675D"/>
    <w:rsid w:val="007F6839"/>
    <w:rsid w:val="007F69A5"/>
    <w:rsid w:val="007F6EC5"/>
    <w:rsid w:val="007F7EE1"/>
    <w:rsid w:val="00800A83"/>
    <w:rsid w:val="00800F6A"/>
    <w:rsid w:val="0080116A"/>
    <w:rsid w:val="00801316"/>
    <w:rsid w:val="00801AB2"/>
    <w:rsid w:val="00801EC5"/>
    <w:rsid w:val="00802C74"/>
    <w:rsid w:val="008038A4"/>
    <w:rsid w:val="00803D71"/>
    <w:rsid w:val="00804045"/>
    <w:rsid w:val="008052B1"/>
    <w:rsid w:val="0080659D"/>
    <w:rsid w:val="00807036"/>
    <w:rsid w:val="0081000A"/>
    <w:rsid w:val="008112CB"/>
    <w:rsid w:val="00811420"/>
    <w:rsid w:val="00811556"/>
    <w:rsid w:val="00811719"/>
    <w:rsid w:val="00812518"/>
    <w:rsid w:val="00812FF2"/>
    <w:rsid w:val="00813B1D"/>
    <w:rsid w:val="00813FAA"/>
    <w:rsid w:val="00814EFA"/>
    <w:rsid w:val="00814F13"/>
    <w:rsid w:val="00815167"/>
    <w:rsid w:val="00815F42"/>
    <w:rsid w:val="00822251"/>
    <w:rsid w:val="00823092"/>
    <w:rsid w:val="008248C0"/>
    <w:rsid w:val="008263EE"/>
    <w:rsid w:val="00826DB9"/>
    <w:rsid w:val="00831331"/>
    <w:rsid w:val="00831BED"/>
    <w:rsid w:val="008334B2"/>
    <w:rsid w:val="0083403E"/>
    <w:rsid w:val="00834077"/>
    <w:rsid w:val="00835813"/>
    <w:rsid w:val="00836103"/>
    <w:rsid w:val="00836243"/>
    <w:rsid w:val="00836DD8"/>
    <w:rsid w:val="00837CFF"/>
    <w:rsid w:val="00837E8B"/>
    <w:rsid w:val="00840364"/>
    <w:rsid w:val="00840B63"/>
    <w:rsid w:val="0084231E"/>
    <w:rsid w:val="00844C75"/>
    <w:rsid w:val="0084505A"/>
    <w:rsid w:val="00845999"/>
    <w:rsid w:val="008466E3"/>
    <w:rsid w:val="00850FCC"/>
    <w:rsid w:val="008519F4"/>
    <w:rsid w:val="00852462"/>
    <w:rsid w:val="008524BF"/>
    <w:rsid w:val="00852784"/>
    <w:rsid w:val="00852B38"/>
    <w:rsid w:val="00852C58"/>
    <w:rsid w:val="00852E3C"/>
    <w:rsid w:val="00853457"/>
    <w:rsid w:val="008562BE"/>
    <w:rsid w:val="008567FA"/>
    <w:rsid w:val="00856D5C"/>
    <w:rsid w:val="00857664"/>
    <w:rsid w:val="00860562"/>
    <w:rsid w:val="008609FB"/>
    <w:rsid w:val="008626B0"/>
    <w:rsid w:val="00862C59"/>
    <w:rsid w:val="00863305"/>
    <w:rsid w:val="0086333F"/>
    <w:rsid w:val="00863E71"/>
    <w:rsid w:val="00865180"/>
    <w:rsid w:val="0086621F"/>
    <w:rsid w:val="00866AC0"/>
    <w:rsid w:val="00867E8C"/>
    <w:rsid w:val="0087369E"/>
    <w:rsid w:val="00873855"/>
    <w:rsid w:val="00874AF0"/>
    <w:rsid w:val="00874D6F"/>
    <w:rsid w:val="0087510A"/>
    <w:rsid w:val="00877453"/>
    <w:rsid w:val="00880530"/>
    <w:rsid w:val="008805AF"/>
    <w:rsid w:val="0088237A"/>
    <w:rsid w:val="00882813"/>
    <w:rsid w:val="00882E96"/>
    <w:rsid w:val="008833BB"/>
    <w:rsid w:val="00883642"/>
    <w:rsid w:val="008840A3"/>
    <w:rsid w:val="00884614"/>
    <w:rsid w:val="00884B56"/>
    <w:rsid w:val="00885A8B"/>
    <w:rsid w:val="008864E8"/>
    <w:rsid w:val="00887A86"/>
    <w:rsid w:val="00887AC3"/>
    <w:rsid w:val="00887DE4"/>
    <w:rsid w:val="00890401"/>
    <w:rsid w:val="00890E0D"/>
    <w:rsid w:val="008924A0"/>
    <w:rsid w:val="008945BA"/>
    <w:rsid w:val="00894C65"/>
    <w:rsid w:val="00896A09"/>
    <w:rsid w:val="00896BAF"/>
    <w:rsid w:val="008976AB"/>
    <w:rsid w:val="008A0055"/>
    <w:rsid w:val="008A0271"/>
    <w:rsid w:val="008A0B94"/>
    <w:rsid w:val="008A15B6"/>
    <w:rsid w:val="008A226A"/>
    <w:rsid w:val="008A3AD2"/>
    <w:rsid w:val="008A4571"/>
    <w:rsid w:val="008A5C4F"/>
    <w:rsid w:val="008A5F56"/>
    <w:rsid w:val="008A6664"/>
    <w:rsid w:val="008A7D51"/>
    <w:rsid w:val="008B18A5"/>
    <w:rsid w:val="008B326C"/>
    <w:rsid w:val="008B3FBA"/>
    <w:rsid w:val="008B47C3"/>
    <w:rsid w:val="008B4D63"/>
    <w:rsid w:val="008B5233"/>
    <w:rsid w:val="008B58D0"/>
    <w:rsid w:val="008B72D9"/>
    <w:rsid w:val="008C0079"/>
    <w:rsid w:val="008C0113"/>
    <w:rsid w:val="008C0680"/>
    <w:rsid w:val="008C089C"/>
    <w:rsid w:val="008C11A9"/>
    <w:rsid w:val="008C1482"/>
    <w:rsid w:val="008C2889"/>
    <w:rsid w:val="008C3A15"/>
    <w:rsid w:val="008C41EE"/>
    <w:rsid w:val="008C4C4F"/>
    <w:rsid w:val="008C4E77"/>
    <w:rsid w:val="008C58FA"/>
    <w:rsid w:val="008C6D6D"/>
    <w:rsid w:val="008C75AB"/>
    <w:rsid w:val="008C7903"/>
    <w:rsid w:val="008C7D52"/>
    <w:rsid w:val="008D0672"/>
    <w:rsid w:val="008D0D3E"/>
    <w:rsid w:val="008D3BA3"/>
    <w:rsid w:val="008D4E0A"/>
    <w:rsid w:val="008D5798"/>
    <w:rsid w:val="008D693D"/>
    <w:rsid w:val="008D7546"/>
    <w:rsid w:val="008E02FF"/>
    <w:rsid w:val="008E0DA0"/>
    <w:rsid w:val="008E1C55"/>
    <w:rsid w:val="008E4B74"/>
    <w:rsid w:val="008E4C79"/>
    <w:rsid w:val="008E6206"/>
    <w:rsid w:val="008E63B2"/>
    <w:rsid w:val="008E7B50"/>
    <w:rsid w:val="008F3342"/>
    <w:rsid w:val="008F4786"/>
    <w:rsid w:val="008F4971"/>
    <w:rsid w:val="008F4F94"/>
    <w:rsid w:val="008F569C"/>
    <w:rsid w:val="008F725B"/>
    <w:rsid w:val="00900351"/>
    <w:rsid w:val="00900A8A"/>
    <w:rsid w:val="0090114A"/>
    <w:rsid w:val="009019F9"/>
    <w:rsid w:val="009023CF"/>
    <w:rsid w:val="009025B7"/>
    <w:rsid w:val="0090579B"/>
    <w:rsid w:val="00905C09"/>
    <w:rsid w:val="009064ED"/>
    <w:rsid w:val="009065F4"/>
    <w:rsid w:val="00907F3D"/>
    <w:rsid w:val="00910C75"/>
    <w:rsid w:val="00911355"/>
    <w:rsid w:val="009117D7"/>
    <w:rsid w:val="00912216"/>
    <w:rsid w:val="0091232C"/>
    <w:rsid w:val="00913B6A"/>
    <w:rsid w:val="00914E33"/>
    <w:rsid w:val="0091640A"/>
    <w:rsid w:val="00916745"/>
    <w:rsid w:val="00921EC0"/>
    <w:rsid w:val="00922002"/>
    <w:rsid w:val="00924447"/>
    <w:rsid w:val="009260CC"/>
    <w:rsid w:val="00927C4E"/>
    <w:rsid w:val="00927C72"/>
    <w:rsid w:val="00930176"/>
    <w:rsid w:val="009301F9"/>
    <w:rsid w:val="00930564"/>
    <w:rsid w:val="00934580"/>
    <w:rsid w:val="009350F1"/>
    <w:rsid w:val="00935EAB"/>
    <w:rsid w:val="0093769B"/>
    <w:rsid w:val="00941221"/>
    <w:rsid w:val="00941C7E"/>
    <w:rsid w:val="009430CF"/>
    <w:rsid w:val="0094393D"/>
    <w:rsid w:val="00944397"/>
    <w:rsid w:val="00944767"/>
    <w:rsid w:val="009454C1"/>
    <w:rsid w:val="00947F5B"/>
    <w:rsid w:val="009508DF"/>
    <w:rsid w:val="00950CB5"/>
    <w:rsid w:val="00951417"/>
    <w:rsid w:val="00951B3C"/>
    <w:rsid w:val="0095325E"/>
    <w:rsid w:val="009534F6"/>
    <w:rsid w:val="009538B8"/>
    <w:rsid w:val="00953BFF"/>
    <w:rsid w:val="00954041"/>
    <w:rsid w:val="009549BA"/>
    <w:rsid w:val="0096058E"/>
    <w:rsid w:val="00960A72"/>
    <w:rsid w:val="00961107"/>
    <w:rsid w:val="009618F1"/>
    <w:rsid w:val="00963683"/>
    <w:rsid w:val="0096547F"/>
    <w:rsid w:val="0096574C"/>
    <w:rsid w:val="00965C7B"/>
    <w:rsid w:val="0096702C"/>
    <w:rsid w:val="0096769C"/>
    <w:rsid w:val="0096787C"/>
    <w:rsid w:val="0097090D"/>
    <w:rsid w:val="009755A0"/>
    <w:rsid w:val="00975642"/>
    <w:rsid w:val="009763FA"/>
    <w:rsid w:val="00977B42"/>
    <w:rsid w:val="00981686"/>
    <w:rsid w:val="00981B76"/>
    <w:rsid w:val="00981EEA"/>
    <w:rsid w:val="00982078"/>
    <w:rsid w:val="0098245F"/>
    <w:rsid w:val="00982D9E"/>
    <w:rsid w:val="009830F6"/>
    <w:rsid w:val="00984CFE"/>
    <w:rsid w:val="00985155"/>
    <w:rsid w:val="00985184"/>
    <w:rsid w:val="00985867"/>
    <w:rsid w:val="00985E6A"/>
    <w:rsid w:val="009862C7"/>
    <w:rsid w:val="00986F27"/>
    <w:rsid w:val="009879F2"/>
    <w:rsid w:val="00990A75"/>
    <w:rsid w:val="00993600"/>
    <w:rsid w:val="00994536"/>
    <w:rsid w:val="00994561"/>
    <w:rsid w:val="00994F59"/>
    <w:rsid w:val="00996F15"/>
    <w:rsid w:val="009A092A"/>
    <w:rsid w:val="009A1484"/>
    <w:rsid w:val="009A14AA"/>
    <w:rsid w:val="009A1BC3"/>
    <w:rsid w:val="009A1BE0"/>
    <w:rsid w:val="009A24CF"/>
    <w:rsid w:val="009A24EF"/>
    <w:rsid w:val="009A4DB2"/>
    <w:rsid w:val="009A5BA0"/>
    <w:rsid w:val="009A7B3F"/>
    <w:rsid w:val="009B0852"/>
    <w:rsid w:val="009B113A"/>
    <w:rsid w:val="009B1CAF"/>
    <w:rsid w:val="009B2C11"/>
    <w:rsid w:val="009B308E"/>
    <w:rsid w:val="009B33B9"/>
    <w:rsid w:val="009B3866"/>
    <w:rsid w:val="009B4D0B"/>
    <w:rsid w:val="009B510C"/>
    <w:rsid w:val="009B52FA"/>
    <w:rsid w:val="009B53D8"/>
    <w:rsid w:val="009B7C49"/>
    <w:rsid w:val="009C0684"/>
    <w:rsid w:val="009C071A"/>
    <w:rsid w:val="009C110C"/>
    <w:rsid w:val="009C145A"/>
    <w:rsid w:val="009C1B1E"/>
    <w:rsid w:val="009C27E5"/>
    <w:rsid w:val="009C2BB7"/>
    <w:rsid w:val="009C2BCC"/>
    <w:rsid w:val="009C3134"/>
    <w:rsid w:val="009C36D4"/>
    <w:rsid w:val="009C3871"/>
    <w:rsid w:val="009C390D"/>
    <w:rsid w:val="009C5551"/>
    <w:rsid w:val="009C6BAB"/>
    <w:rsid w:val="009C71AA"/>
    <w:rsid w:val="009D04CD"/>
    <w:rsid w:val="009D2BDD"/>
    <w:rsid w:val="009D3E0D"/>
    <w:rsid w:val="009D3E44"/>
    <w:rsid w:val="009D53EB"/>
    <w:rsid w:val="009D635C"/>
    <w:rsid w:val="009E0343"/>
    <w:rsid w:val="009E0774"/>
    <w:rsid w:val="009E1B74"/>
    <w:rsid w:val="009E3B54"/>
    <w:rsid w:val="009E3D0B"/>
    <w:rsid w:val="009E4ECE"/>
    <w:rsid w:val="009E5E69"/>
    <w:rsid w:val="009E62E9"/>
    <w:rsid w:val="009E6AD2"/>
    <w:rsid w:val="009E731E"/>
    <w:rsid w:val="009F0C88"/>
    <w:rsid w:val="009F13BB"/>
    <w:rsid w:val="009F1CFC"/>
    <w:rsid w:val="009F1FC8"/>
    <w:rsid w:val="009F3494"/>
    <w:rsid w:val="009F39C1"/>
    <w:rsid w:val="009F3ABD"/>
    <w:rsid w:val="009F473E"/>
    <w:rsid w:val="009F4FBF"/>
    <w:rsid w:val="009F5011"/>
    <w:rsid w:val="009F59EB"/>
    <w:rsid w:val="009F6720"/>
    <w:rsid w:val="009F6C57"/>
    <w:rsid w:val="00A00BEF"/>
    <w:rsid w:val="00A00C00"/>
    <w:rsid w:val="00A01098"/>
    <w:rsid w:val="00A020E4"/>
    <w:rsid w:val="00A02D48"/>
    <w:rsid w:val="00A031B5"/>
    <w:rsid w:val="00A03388"/>
    <w:rsid w:val="00A03A29"/>
    <w:rsid w:val="00A03CE3"/>
    <w:rsid w:val="00A041A6"/>
    <w:rsid w:val="00A05589"/>
    <w:rsid w:val="00A06727"/>
    <w:rsid w:val="00A068B3"/>
    <w:rsid w:val="00A068FF"/>
    <w:rsid w:val="00A10173"/>
    <w:rsid w:val="00A10DC4"/>
    <w:rsid w:val="00A11223"/>
    <w:rsid w:val="00A11EA6"/>
    <w:rsid w:val="00A120AE"/>
    <w:rsid w:val="00A12821"/>
    <w:rsid w:val="00A1314A"/>
    <w:rsid w:val="00A13FB0"/>
    <w:rsid w:val="00A1425D"/>
    <w:rsid w:val="00A142BC"/>
    <w:rsid w:val="00A14391"/>
    <w:rsid w:val="00A15D55"/>
    <w:rsid w:val="00A1651E"/>
    <w:rsid w:val="00A16608"/>
    <w:rsid w:val="00A17D18"/>
    <w:rsid w:val="00A22ED5"/>
    <w:rsid w:val="00A236C1"/>
    <w:rsid w:val="00A237EA"/>
    <w:rsid w:val="00A24807"/>
    <w:rsid w:val="00A26B15"/>
    <w:rsid w:val="00A30678"/>
    <w:rsid w:val="00A308D8"/>
    <w:rsid w:val="00A31E2E"/>
    <w:rsid w:val="00A34465"/>
    <w:rsid w:val="00A34CB4"/>
    <w:rsid w:val="00A34D93"/>
    <w:rsid w:val="00A352D0"/>
    <w:rsid w:val="00A353C3"/>
    <w:rsid w:val="00A35443"/>
    <w:rsid w:val="00A40B10"/>
    <w:rsid w:val="00A40FBB"/>
    <w:rsid w:val="00A41BA0"/>
    <w:rsid w:val="00A450F3"/>
    <w:rsid w:val="00A458A2"/>
    <w:rsid w:val="00A51950"/>
    <w:rsid w:val="00A5196B"/>
    <w:rsid w:val="00A52130"/>
    <w:rsid w:val="00A5272B"/>
    <w:rsid w:val="00A52989"/>
    <w:rsid w:val="00A53200"/>
    <w:rsid w:val="00A53343"/>
    <w:rsid w:val="00A53357"/>
    <w:rsid w:val="00A53896"/>
    <w:rsid w:val="00A541E5"/>
    <w:rsid w:val="00A5619B"/>
    <w:rsid w:val="00A56A0B"/>
    <w:rsid w:val="00A57872"/>
    <w:rsid w:val="00A603A8"/>
    <w:rsid w:val="00A612C4"/>
    <w:rsid w:val="00A62216"/>
    <w:rsid w:val="00A636F9"/>
    <w:rsid w:val="00A65A6C"/>
    <w:rsid w:val="00A67102"/>
    <w:rsid w:val="00A700C0"/>
    <w:rsid w:val="00A700F0"/>
    <w:rsid w:val="00A7187F"/>
    <w:rsid w:val="00A7330B"/>
    <w:rsid w:val="00A738C6"/>
    <w:rsid w:val="00A739C8"/>
    <w:rsid w:val="00A76712"/>
    <w:rsid w:val="00A76E6A"/>
    <w:rsid w:val="00A76F41"/>
    <w:rsid w:val="00A775C6"/>
    <w:rsid w:val="00A80955"/>
    <w:rsid w:val="00A82A7B"/>
    <w:rsid w:val="00A84223"/>
    <w:rsid w:val="00A85C4C"/>
    <w:rsid w:val="00A86E5E"/>
    <w:rsid w:val="00A917EA"/>
    <w:rsid w:val="00A93F55"/>
    <w:rsid w:val="00A95DB8"/>
    <w:rsid w:val="00A96275"/>
    <w:rsid w:val="00A9673E"/>
    <w:rsid w:val="00A967D4"/>
    <w:rsid w:val="00A97208"/>
    <w:rsid w:val="00A97524"/>
    <w:rsid w:val="00A97B16"/>
    <w:rsid w:val="00AA01CF"/>
    <w:rsid w:val="00AA0353"/>
    <w:rsid w:val="00AA0666"/>
    <w:rsid w:val="00AA47C2"/>
    <w:rsid w:val="00AA6650"/>
    <w:rsid w:val="00AB0795"/>
    <w:rsid w:val="00AB0A64"/>
    <w:rsid w:val="00AB123B"/>
    <w:rsid w:val="00AB1870"/>
    <w:rsid w:val="00AB1D39"/>
    <w:rsid w:val="00AB327D"/>
    <w:rsid w:val="00AB3E0B"/>
    <w:rsid w:val="00AB40D6"/>
    <w:rsid w:val="00AB4607"/>
    <w:rsid w:val="00AB4D90"/>
    <w:rsid w:val="00AB50D0"/>
    <w:rsid w:val="00AB5473"/>
    <w:rsid w:val="00AB55D9"/>
    <w:rsid w:val="00AB6136"/>
    <w:rsid w:val="00AB627D"/>
    <w:rsid w:val="00AB68F3"/>
    <w:rsid w:val="00AB6EE3"/>
    <w:rsid w:val="00AB6F6B"/>
    <w:rsid w:val="00AB745B"/>
    <w:rsid w:val="00AC06B4"/>
    <w:rsid w:val="00AC0F5F"/>
    <w:rsid w:val="00AC2661"/>
    <w:rsid w:val="00AC2876"/>
    <w:rsid w:val="00AC4208"/>
    <w:rsid w:val="00AC5256"/>
    <w:rsid w:val="00AC6468"/>
    <w:rsid w:val="00AC7290"/>
    <w:rsid w:val="00AD1396"/>
    <w:rsid w:val="00AD1DF6"/>
    <w:rsid w:val="00AD324E"/>
    <w:rsid w:val="00AD3DA9"/>
    <w:rsid w:val="00AD4532"/>
    <w:rsid w:val="00AD5B09"/>
    <w:rsid w:val="00AD6990"/>
    <w:rsid w:val="00AE2651"/>
    <w:rsid w:val="00AE6100"/>
    <w:rsid w:val="00AE6D9B"/>
    <w:rsid w:val="00AE7C2F"/>
    <w:rsid w:val="00AF03EE"/>
    <w:rsid w:val="00AF0A25"/>
    <w:rsid w:val="00AF1164"/>
    <w:rsid w:val="00AF260C"/>
    <w:rsid w:val="00AF2789"/>
    <w:rsid w:val="00AF4F0B"/>
    <w:rsid w:val="00AF5122"/>
    <w:rsid w:val="00AF53E6"/>
    <w:rsid w:val="00AF5FB4"/>
    <w:rsid w:val="00AF78CB"/>
    <w:rsid w:val="00B02B4C"/>
    <w:rsid w:val="00B032EA"/>
    <w:rsid w:val="00B0477D"/>
    <w:rsid w:val="00B04A73"/>
    <w:rsid w:val="00B04D2A"/>
    <w:rsid w:val="00B05D43"/>
    <w:rsid w:val="00B07FEF"/>
    <w:rsid w:val="00B10401"/>
    <w:rsid w:val="00B12563"/>
    <w:rsid w:val="00B1262C"/>
    <w:rsid w:val="00B15BB1"/>
    <w:rsid w:val="00B16EF8"/>
    <w:rsid w:val="00B174F3"/>
    <w:rsid w:val="00B1790D"/>
    <w:rsid w:val="00B209EB"/>
    <w:rsid w:val="00B2235B"/>
    <w:rsid w:val="00B224E0"/>
    <w:rsid w:val="00B23770"/>
    <w:rsid w:val="00B23C28"/>
    <w:rsid w:val="00B265A3"/>
    <w:rsid w:val="00B26FDC"/>
    <w:rsid w:val="00B31AD1"/>
    <w:rsid w:val="00B31C5F"/>
    <w:rsid w:val="00B3349E"/>
    <w:rsid w:val="00B346E6"/>
    <w:rsid w:val="00B35147"/>
    <w:rsid w:val="00B356C6"/>
    <w:rsid w:val="00B35A65"/>
    <w:rsid w:val="00B36F1C"/>
    <w:rsid w:val="00B37569"/>
    <w:rsid w:val="00B37D56"/>
    <w:rsid w:val="00B40731"/>
    <w:rsid w:val="00B43239"/>
    <w:rsid w:val="00B43384"/>
    <w:rsid w:val="00B44083"/>
    <w:rsid w:val="00B442B2"/>
    <w:rsid w:val="00B44726"/>
    <w:rsid w:val="00B501E6"/>
    <w:rsid w:val="00B5111A"/>
    <w:rsid w:val="00B51777"/>
    <w:rsid w:val="00B51943"/>
    <w:rsid w:val="00B52460"/>
    <w:rsid w:val="00B52614"/>
    <w:rsid w:val="00B530D6"/>
    <w:rsid w:val="00B535C3"/>
    <w:rsid w:val="00B537C5"/>
    <w:rsid w:val="00B54427"/>
    <w:rsid w:val="00B549F7"/>
    <w:rsid w:val="00B54EF9"/>
    <w:rsid w:val="00B56CB9"/>
    <w:rsid w:val="00B56E8F"/>
    <w:rsid w:val="00B611ED"/>
    <w:rsid w:val="00B61216"/>
    <w:rsid w:val="00B614CE"/>
    <w:rsid w:val="00B646AC"/>
    <w:rsid w:val="00B64C5C"/>
    <w:rsid w:val="00B67432"/>
    <w:rsid w:val="00B703B3"/>
    <w:rsid w:val="00B70BE3"/>
    <w:rsid w:val="00B711AD"/>
    <w:rsid w:val="00B71D5C"/>
    <w:rsid w:val="00B71DE4"/>
    <w:rsid w:val="00B7235A"/>
    <w:rsid w:val="00B73163"/>
    <w:rsid w:val="00B73454"/>
    <w:rsid w:val="00B737B7"/>
    <w:rsid w:val="00B73C8D"/>
    <w:rsid w:val="00B74E3E"/>
    <w:rsid w:val="00B76596"/>
    <w:rsid w:val="00B77B2B"/>
    <w:rsid w:val="00B77C92"/>
    <w:rsid w:val="00B77E8A"/>
    <w:rsid w:val="00B80563"/>
    <w:rsid w:val="00B8119A"/>
    <w:rsid w:val="00B813D4"/>
    <w:rsid w:val="00B81B02"/>
    <w:rsid w:val="00B81B22"/>
    <w:rsid w:val="00B83385"/>
    <w:rsid w:val="00B8375D"/>
    <w:rsid w:val="00B85E9D"/>
    <w:rsid w:val="00B86873"/>
    <w:rsid w:val="00B872AE"/>
    <w:rsid w:val="00B872C2"/>
    <w:rsid w:val="00B8767D"/>
    <w:rsid w:val="00B876BF"/>
    <w:rsid w:val="00B908DA"/>
    <w:rsid w:val="00B91B92"/>
    <w:rsid w:val="00B91BEC"/>
    <w:rsid w:val="00B93AED"/>
    <w:rsid w:val="00B93CB0"/>
    <w:rsid w:val="00B9630D"/>
    <w:rsid w:val="00B9696D"/>
    <w:rsid w:val="00B979AB"/>
    <w:rsid w:val="00BA0253"/>
    <w:rsid w:val="00BA02D4"/>
    <w:rsid w:val="00BA2157"/>
    <w:rsid w:val="00BA2465"/>
    <w:rsid w:val="00BA4C40"/>
    <w:rsid w:val="00BA54EA"/>
    <w:rsid w:val="00BA5ADB"/>
    <w:rsid w:val="00BA64DF"/>
    <w:rsid w:val="00BA7072"/>
    <w:rsid w:val="00BA77A7"/>
    <w:rsid w:val="00BB1199"/>
    <w:rsid w:val="00BB1DF8"/>
    <w:rsid w:val="00BB258B"/>
    <w:rsid w:val="00BB3441"/>
    <w:rsid w:val="00BB5C4B"/>
    <w:rsid w:val="00BB5E14"/>
    <w:rsid w:val="00BB6B95"/>
    <w:rsid w:val="00BB6CBA"/>
    <w:rsid w:val="00BB72F8"/>
    <w:rsid w:val="00BB7582"/>
    <w:rsid w:val="00BC0BCF"/>
    <w:rsid w:val="00BC0FAA"/>
    <w:rsid w:val="00BC1353"/>
    <w:rsid w:val="00BC2DCF"/>
    <w:rsid w:val="00BC3969"/>
    <w:rsid w:val="00BC5069"/>
    <w:rsid w:val="00BC570D"/>
    <w:rsid w:val="00BC571E"/>
    <w:rsid w:val="00BC5CC1"/>
    <w:rsid w:val="00BC5D05"/>
    <w:rsid w:val="00BC7DBC"/>
    <w:rsid w:val="00BD1D04"/>
    <w:rsid w:val="00BD24A2"/>
    <w:rsid w:val="00BD2AA5"/>
    <w:rsid w:val="00BD3B38"/>
    <w:rsid w:val="00BD3C65"/>
    <w:rsid w:val="00BD41FD"/>
    <w:rsid w:val="00BD4567"/>
    <w:rsid w:val="00BD6621"/>
    <w:rsid w:val="00BD662D"/>
    <w:rsid w:val="00BD6C9B"/>
    <w:rsid w:val="00BD76D4"/>
    <w:rsid w:val="00BD78B1"/>
    <w:rsid w:val="00BD7960"/>
    <w:rsid w:val="00BD7996"/>
    <w:rsid w:val="00BD7D4B"/>
    <w:rsid w:val="00BE2269"/>
    <w:rsid w:val="00BE3100"/>
    <w:rsid w:val="00BE34AB"/>
    <w:rsid w:val="00BE3D2B"/>
    <w:rsid w:val="00BE3E5F"/>
    <w:rsid w:val="00BE4639"/>
    <w:rsid w:val="00BE5949"/>
    <w:rsid w:val="00BE6EB1"/>
    <w:rsid w:val="00BE7E4B"/>
    <w:rsid w:val="00BE7FBD"/>
    <w:rsid w:val="00BF0E6F"/>
    <w:rsid w:val="00BF174C"/>
    <w:rsid w:val="00BF1F64"/>
    <w:rsid w:val="00BF1FD2"/>
    <w:rsid w:val="00BF3240"/>
    <w:rsid w:val="00BF3FF6"/>
    <w:rsid w:val="00BF4E0E"/>
    <w:rsid w:val="00BF65D5"/>
    <w:rsid w:val="00BF65F9"/>
    <w:rsid w:val="00BF7226"/>
    <w:rsid w:val="00BF79FB"/>
    <w:rsid w:val="00C01448"/>
    <w:rsid w:val="00C03A62"/>
    <w:rsid w:val="00C03D50"/>
    <w:rsid w:val="00C04E86"/>
    <w:rsid w:val="00C055CD"/>
    <w:rsid w:val="00C05C03"/>
    <w:rsid w:val="00C0645C"/>
    <w:rsid w:val="00C06A3D"/>
    <w:rsid w:val="00C06ADC"/>
    <w:rsid w:val="00C104DC"/>
    <w:rsid w:val="00C107BB"/>
    <w:rsid w:val="00C109F4"/>
    <w:rsid w:val="00C11332"/>
    <w:rsid w:val="00C1271D"/>
    <w:rsid w:val="00C136A8"/>
    <w:rsid w:val="00C14077"/>
    <w:rsid w:val="00C14E03"/>
    <w:rsid w:val="00C15DB9"/>
    <w:rsid w:val="00C1607F"/>
    <w:rsid w:val="00C1674F"/>
    <w:rsid w:val="00C16DFB"/>
    <w:rsid w:val="00C16E29"/>
    <w:rsid w:val="00C17073"/>
    <w:rsid w:val="00C171A2"/>
    <w:rsid w:val="00C172C5"/>
    <w:rsid w:val="00C20EED"/>
    <w:rsid w:val="00C24AD7"/>
    <w:rsid w:val="00C24B8B"/>
    <w:rsid w:val="00C24DE3"/>
    <w:rsid w:val="00C2577C"/>
    <w:rsid w:val="00C25D3E"/>
    <w:rsid w:val="00C26104"/>
    <w:rsid w:val="00C27C02"/>
    <w:rsid w:val="00C27D2A"/>
    <w:rsid w:val="00C27F58"/>
    <w:rsid w:val="00C30EF0"/>
    <w:rsid w:val="00C31A2B"/>
    <w:rsid w:val="00C32AB8"/>
    <w:rsid w:val="00C32C23"/>
    <w:rsid w:val="00C33299"/>
    <w:rsid w:val="00C334BB"/>
    <w:rsid w:val="00C3424E"/>
    <w:rsid w:val="00C34835"/>
    <w:rsid w:val="00C34968"/>
    <w:rsid w:val="00C34FCD"/>
    <w:rsid w:val="00C35243"/>
    <w:rsid w:val="00C369D0"/>
    <w:rsid w:val="00C41FE4"/>
    <w:rsid w:val="00C42948"/>
    <w:rsid w:val="00C42DA1"/>
    <w:rsid w:val="00C42EBB"/>
    <w:rsid w:val="00C44EBC"/>
    <w:rsid w:val="00C457E2"/>
    <w:rsid w:val="00C47087"/>
    <w:rsid w:val="00C52CFA"/>
    <w:rsid w:val="00C54576"/>
    <w:rsid w:val="00C550A2"/>
    <w:rsid w:val="00C5567D"/>
    <w:rsid w:val="00C558CC"/>
    <w:rsid w:val="00C55B5F"/>
    <w:rsid w:val="00C6128E"/>
    <w:rsid w:val="00C61569"/>
    <w:rsid w:val="00C62CB0"/>
    <w:rsid w:val="00C631C0"/>
    <w:rsid w:val="00C63634"/>
    <w:rsid w:val="00C64C12"/>
    <w:rsid w:val="00C657C8"/>
    <w:rsid w:val="00C65F0D"/>
    <w:rsid w:val="00C671C9"/>
    <w:rsid w:val="00C67B26"/>
    <w:rsid w:val="00C706C6"/>
    <w:rsid w:val="00C70E6B"/>
    <w:rsid w:val="00C7134A"/>
    <w:rsid w:val="00C725C2"/>
    <w:rsid w:val="00C72834"/>
    <w:rsid w:val="00C72BAA"/>
    <w:rsid w:val="00C73134"/>
    <w:rsid w:val="00C749A6"/>
    <w:rsid w:val="00C74A47"/>
    <w:rsid w:val="00C75A7B"/>
    <w:rsid w:val="00C75E05"/>
    <w:rsid w:val="00C7698B"/>
    <w:rsid w:val="00C772D6"/>
    <w:rsid w:val="00C77E07"/>
    <w:rsid w:val="00C8090B"/>
    <w:rsid w:val="00C80B87"/>
    <w:rsid w:val="00C81A2A"/>
    <w:rsid w:val="00C81D60"/>
    <w:rsid w:val="00C826C1"/>
    <w:rsid w:val="00C82D25"/>
    <w:rsid w:val="00C83260"/>
    <w:rsid w:val="00C85078"/>
    <w:rsid w:val="00C863E1"/>
    <w:rsid w:val="00C8755E"/>
    <w:rsid w:val="00C90474"/>
    <w:rsid w:val="00C90C04"/>
    <w:rsid w:val="00C90E2E"/>
    <w:rsid w:val="00C90F1E"/>
    <w:rsid w:val="00C91C04"/>
    <w:rsid w:val="00C9222F"/>
    <w:rsid w:val="00C92998"/>
    <w:rsid w:val="00C93660"/>
    <w:rsid w:val="00C94712"/>
    <w:rsid w:val="00C94F5B"/>
    <w:rsid w:val="00C970AB"/>
    <w:rsid w:val="00C9712C"/>
    <w:rsid w:val="00C973EB"/>
    <w:rsid w:val="00C9741D"/>
    <w:rsid w:val="00CA2F48"/>
    <w:rsid w:val="00CA3406"/>
    <w:rsid w:val="00CA3A08"/>
    <w:rsid w:val="00CA541E"/>
    <w:rsid w:val="00CA608F"/>
    <w:rsid w:val="00CA791F"/>
    <w:rsid w:val="00CB1DA6"/>
    <w:rsid w:val="00CB5886"/>
    <w:rsid w:val="00CB5D07"/>
    <w:rsid w:val="00CB68D3"/>
    <w:rsid w:val="00CB787F"/>
    <w:rsid w:val="00CB7D7C"/>
    <w:rsid w:val="00CC0F8E"/>
    <w:rsid w:val="00CC1403"/>
    <w:rsid w:val="00CC3032"/>
    <w:rsid w:val="00CC351B"/>
    <w:rsid w:val="00CC41E2"/>
    <w:rsid w:val="00CC44E6"/>
    <w:rsid w:val="00CC4596"/>
    <w:rsid w:val="00CC6310"/>
    <w:rsid w:val="00CC6813"/>
    <w:rsid w:val="00CC7994"/>
    <w:rsid w:val="00CD247D"/>
    <w:rsid w:val="00CD2800"/>
    <w:rsid w:val="00CD2C2A"/>
    <w:rsid w:val="00CD2CEE"/>
    <w:rsid w:val="00CD2FF3"/>
    <w:rsid w:val="00CD36AC"/>
    <w:rsid w:val="00CD3947"/>
    <w:rsid w:val="00CD4230"/>
    <w:rsid w:val="00CD4D36"/>
    <w:rsid w:val="00CD55F0"/>
    <w:rsid w:val="00CD5C7A"/>
    <w:rsid w:val="00CD716A"/>
    <w:rsid w:val="00CD73AA"/>
    <w:rsid w:val="00CD77CE"/>
    <w:rsid w:val="00CE2180"/>
    <w:rsid w:val="00CE27E2"/>
    <w:rsid w:val="00CE4235"/>
    <w:rsid w:val="00CE43EE"/>
    <w:rsid w:val="00CE4942"/>
    <w:rsid w:val="00CE5C80"/>
    <w:rsid w:val="00CE6B99"/>
    <w:rsid w:val="00CF00BC"/>
    <w:rsid w:val="00CF0850"/>
    <w:rsid w:val="00CF0EBD"/>
    <w:rsid w:val="00CF2553"/>
    <w:rsid w:val="00CF3051"/>
    <w:rsid w:val="00CF353E"/>
    <w:rsid w:val="00CF3C98"/>
    <w:rsid w:val="00CF3E4A"/>
    <w:rsid w:val="00CF494B"/>
    <w:rsid w:val="00CF4F71"/>
    <w:rsid w:val="00CF767F"/>
    <w:rsid w:val="00D00C82"/>
    <w:rsid w:val="00D00EB9"/>
    <w:rsid w:val="00D017A4"/>
    <w:rsid w:val="00D024EF"/>
    <w:rsid w:val="00D028A8"/>
    <w:rsid w:val="00D035AE"/>
    <w:rsid w:val="00D0574C"/>
    <w:rsid w:val="00D0647A"/>
    <w:rsid w:val="00D079F4"/>
    <w:rsid w:val="00D07F10"/>
    <w:rsid w:val="00D107AA"/>
    <w:rsid w:val="00D11792"/>
    <w:rsid w:val="00D12DB0"/>
    <w:rsid w:val="00D1301C"/>
    <w:rsid w:val="00D13444"/>
    <w:rsid w:val="00D13821"/>
    <w:rsid w:val="00D1506E"/>
    <w:rsid w:val="00D15A8B"/>
    <w:rsid w:val="00D15F07"/>
    <w:rsid w:val="00D16727"/>
    <w:rsid w:val="00D172AE"/>
    <w:rsid w:val="00D204E2"/>
    <w:rsid w:val="00D20FA6"/>
    <w:rsid w:val="00D20FF4"/>
    <w:rsid w:val="00D21222"/>
    <w:rsid w:val="00D21DAF"/>
    <w:rsid w:val="00D22021"/>
    <w:rsid w:val="00D235FE"/>
    <w:rsid w:val="00D2483E"/>
    <w:rsid w:val="00D248A8"/>
    <w:rsid w:val="00D24AA3"/>
    <w:rsid w:val="00D24B35"/>
    <w:rsid w:val="00D24C93"/>
    <w:rsid w:val="00D2701F"/>
    <w:rsid w:val="00D27388"/>
    <w:rsid w:val="00D30620"/>
    <w:rsid w:val="00D309A8"/>
    <w:rsid w:val="00D30E8F"/>
    <w:rsid w:val="00D334E5"/>
    <w:rsid w:val="00D3389D"/>
    <w:rsid w:val="00D33FCA"/>
    <w:rsid w:val="00D34014"/>
    <w:rsid w:val="00D34D11"/>
    <w:rsid w:val="00D351C6"/>
    <w:rsid w:val="00D3599A"/>
    <w:rsid w:val="00D3604F"/>
    <w:rsid w:val="00D400CC"/>
    <w:rsid w:val="00D4038B"/>
    <w:rsid w:val="00D40C12"/>
    <w:rsid w:val="00D410B3"/>
    <w:rsid w:val="00D41149"/>
    <w:rsid w:val="00D41914"/>
    <w:rsid w:val="00D41DB3"/>
    <w:rsid w:val="00D4224B"/>
    <w:rsid w:val="00D42288"/>
    <w:rsid w:val="00D423C3"/>
    <w:rsid w:val="00D42B5A"/>
    <w:rsid w:val="00D44682"/>
    <w:rsid w:val="00D45002"/>
    <w:rsid w:val="00D45522"/>
    <w:rsid w:val="00D456A4"/>
    <w:rsid w:val="00D46AF9"/>
    <w:rsid w:val="00D4727B"/>
    <w:rsid w:val="00D47B55"/>
    <w:rsid w:val="00D50358"/>
    <w:rsid w:val="00D50784"/>
    <w:rsid w:val="00D50A9C"/>
    <w:rsid w:val="00D517B7"/>
    <w:rsid w:val="00D534B8"/>
    <w:rsid w:val="00D5363B"/>
    <w:rsid w:val="00D53E8D"/>
    <w:rsid w:val="00D55480"/>
    <w:rsid w:val="00D55AFB"/>
    <w:rsid w:val="00D55B12"/>
    <w:rsid w:val="00D56803"/>
    <w:rsid w:val="00D57B18"/>
    <w:rsid w:val="00D60245"/>
    <w:rsid w:val="00D6237F"/>
    <w:rsid w:val="00D65862"/>
    <w:rsid w:val="00D705C2"/>
    <w:rsid w:val="00D70737"/>
    <w:rsid w:val="00D70AA6"/>
    <w:rsid w:val="00D729CE"/>
    <w:rsid w:val="00D72C5E"/>
    <w:rsid w:val="00D730E8"/>
    <w:rsid w:val="00D73F8B"/>
    <w:rsid w:val="00D74279"/>
    <w:rsid w:val="00D7570B"/>
    <w:rsid w:val="00D761D5"/>
    <w:rsid w:val="00D76214"/>
    <w:rsid w:val="00D774DA"/>
    <w:rsid w:val="00D814B8"/>
    <w:rsid w:val="00D815CC"/>
    <w:rsid w:val="00D81B5D"/>
    <w:rsid w:val="00D8377A"/>
    <w:rsid w:val="00D83E8C"/>
    <w:rsid w:val="00D846E6"/>
    <w:rsid w:val="00D84A52"/>
    <w:rsid w:val="00D84DE0"/>
    <w:rsid w:val="00D855C8"/>
    <w:rsid w:val="00D91436"/>
    <w:rsid w:val="00D91669"/>
    <w:rsid w:val="00D919FC"/>
    <w:rsid w:val="00D91CDB"/>
    <w:rsid w:val="00D91D32"/>
    <w:rsid w:val="00D921F2"/>
    <w:rsid w:val="00D928A1"/>
    <w:rsid w:val="00D92DD9"/>
    <w:rsid w:val="00D9352E"/>
    <w:rsid w:val="00D937CD"/>
    <w:rsid w:val="00D955AC"/>
    <w:rsid w:val="00D95BB5"/>
    <w:rsid w:val="00D96375"/>
    <w:rsid w:val="00D96653"/>
    <w:rsid w:val="00D97BC9"/>
    <w:rsid w:val="00DA0873"/>
    <w:rsid w:val="00DA0952"/>
    <w:rsid w:val="00DA0953"/>
    <w:rsid w:val="00DA14A4"/>
    <w:rsid w:val="00DA1C94"/>
    <w:rsid w:val="00DA3F27"/>
    <w:rsid w:val="00DA41E5"/>
    <w:rsid w:val="00DA43AD"/>
    <w:rsid w:val="00DA4AA2"/>
    <w:rsid w:val="00DA4AEA"/>
    <w:rsid w:val="00DA5F76"/>
    <w:rsid w:val="00DA69C3"/>
    <w:rsid w:val="00DA792F"/>
    <w:rsid w:val="00DB0638"/>
    <w:rsid w:val="00DB06A4"/>
    <w:rsid w:val="00DB1011"/>
    <w:rsid w:val="00DB112B"/>
    <w:rsid w:val="00DB14E2"/>
    <w:rsid w:val="00DB1AB8"/>
    <w:rsid w:val="00DB2286"/>
    <w:rsid w:val="00DB2FB2"/>
    <w:rsid w:val="00DB3609"/>
    <w:rsid w:val="00DB3CA9"/>
    <w:rsid w:val="00DB3FBD"/>
    <w:rsid w:val="00DB4112"/>
    <w:rsid w:val="00DB4D70"/>
    <w:rsid w:val="00DB5524"/>
    <w:rsid w:val="00DB59D3"/>
    <w:rsid w:val="00DB5D9F"/>
    <w:rsid w:val="00DB758C"/>
    <w:rsid w:val="00DB7B3A"/>
    <w:rsid w:val="00DC068D"/>
    <w:rsid w:val="00DC0C3E"/>
    <w:rsid w:val="00DC0C83"/>
    <w:rsid w:val="00DC0DA7"/>
    <w:rsid w:val="00DC1757"/>
    <w:rsid w:val="00DC215F"/>
    <w:rsid w:val="00DC3316"/>
    <w:rsid w:val="00DC3C3F"/>
    <w:rsid w:val="00DC3CFE"/>
    <w:rsid w:val="00DC4D88"/>
    <w:rsid w:val="00DC6792"/>
    <w:rsid w:val="00DC6F43"/>
    <w:rsid w:val="00DC79EB"/>
    <w:rsid w:val="00DD2929"/>
    <w:rsid w:val="00DD33E3"/>
    <w:rsid w:val="00DD5DF1"/>
    <w:rsid w:val="00DD6127"/>
    <w:rsid w:val="00DD67A0"/>
    <w:rsid w:val="00DD69FC"/>
    <w:rsid w:val="00DD79DB"/>
    <w:rsid w:val="00DE24C6"/>
    <w:rsid w:val="00DE4AD1"/>
    <w:rsid w:val="00DE5077"/>
    <w:rsid w:val="00DE5B0C"/>
    <w:rsid w:val="00DF1011"/>
    <w:rsid w:val="00DF1DF0"/>
    <w:rsid w:val="00DF2786"/>
    <w:rsid w:val="00DF3388"/>
    <w:rsid w:val="00DF4497"/>
    <w:rsid w:val="00DF45D4"/>
    <w:rsid w:val="00DF78E0"/>
    <w:rsid w:val="00E00A1D"/>
    <w:rsid w:val="00E00F1C"/>
    <w:rsid w:val="00E02A3B"/>
    <w:rsid w:val="00E03C6B"/>
    <w:rsid w:val="00E03D49"/>
    <w:rsid w:val="00E04FE5"/>
    <w:rsid w:val="00E0641D"/>
    <w:rsid w:val="00E074D7"/>
    <w:rsid w:val="00E07CBA"/>
    <w:rsid w:val="00E10D75"/>
    <w:rsid w:val="00E12E34"/>
    <w:rsid w:val="00E134A0"/>
    <w:rsid w:val="00E14750"/>
    <w:rsid w:val="00E15240"/>
    <w:rsid w:val="00E1558E"/>
    <w:rsid w:val="00E16CE3"/>
    <w:rsid w:val="00E17433"/>
    <w:rsid w:val="00E20042"/>
    <w:rsid w:val="00E21114"/>
    <w:rsid w:val="00E21871"/>
    <w:rsid w:val="00E21E62"/>
    <w:rsid w:val="00E23173"/>
    <w:rsid w:val="00E24563"/>
    <w:rsid w:val="00E251C2"/>
    <w:rsid w:val="00E25EE3"/>
    <w:rsid w:val="00E26B6A"/>
    <w:rsid w:val="00E26F6D"/>
    <w:rsid w:val="00E275B3"/>
    <w:rsid w:val="00E27E52"/>
    <w:rsid w:val="00E30C89"/>
    <w:rsid w:val="00E310F1"/>
    <w:rsid w:val="00E31421"/>
    <w:rsid w:val="00E31D87"/>
    <w:rsid w:val="00E33502"/>
    <w:rsid w:val="00E3538F"/>
    <w:rsid w:val="00E3588D"/>
    <w:rsid w:val="00E36B97"/>
    <w:rsid w:val="00E37028"/>
    <w:rsid w:val="00E40F41"/>
    <w:rsid w:val="00E413FE"/>
    <w:rsid w:val="00E41CFA"/>
    <w:rsid w:val="00E4230D"/>
    <w:rsid w:val="00E427B8"/>
    <w:rsid w:val="00E42D7F"/>
    <w:rsid w:val="00E4300E"/>
    <w:rsid w:val="00E43504"/>
    <w:rsid w:val="00E43A04"/>
    <w:rsid w:val="00E4451A"/>
    <w:rsid w:val="00E44CCD"/>
    <w:rsid w:val="00E45099"/>
    <w:rsid w:val="00E46108"/>
    <w:rsid w:val="00E46144"/>
    <w:rsid w:val="00E4637C"/>
    <w:rsid w:val="00E46C77"/>
    <w:rsid w:val="00E46F82"/>
    <w:rsid w:val="00E4721D"/>
    <w:rsid w:val="00E50370"/>
    <w:rsid w:val="00E52A9E"/>
    <w:rsid w:val="00E55771"/>
    <w:rsid w:val="00E558F1"/>
    <w:rsid w:val="00E55F05"/>
    <w:rsid w:val="00E560E7"/>
    <w:rsid w:val="00E563D1"/>
    <w:rsid w:val="00E566A4"/>
    <w:rsid w:val="00E57545"/>
    <w:rsid w:val="00E6107E"/>
    <w:rsid w:val="00E61A13"/>
    <w:rsid w:val="00E62359"/>
    <w:rsid w:val="00E6245D"/>
    <w:rsid w:val="00E62504"/>
    <w:rsid w:val="00E64D7E"/>
    <w:rsid w:val="00E64FEB"/>
    <w:rsid w:val="00E66025"/>
    <w:rsid w:val="00E6628A"/>
    <w:rsid w:val="00E66C55"/>
    <w:rsid w:val="00E66CB0"/>
    <w:rsid w:val="00E673B4"/>
    <w:rsid w:val="00E71C2C"/>
    <w:rsid w:val="00E720C8"/>
    <w:rsid w:val="00E722AB"/>
    <w:rsid w:val="00E72630"/>
    <w:rsid w:val="00E7333B"/>
    <w:rsid w:val="00E73C93"/>
    <w:rsid w:val="00E7406C"/>
    <w:rsid w:val="00E75953"/>
    <w:rsid w:val="00E75DC7"/>
    <w:rsid w:val="00E80527"/>
    <w:rsid w:val="00E8245E"/>
    <w:rsid w:val="00E8275F"/>
    <w:rsid w:val="00E83745"/>
    <w:rsid w:val="00E837E4"/>
    <w:rsid w:val="00E839C8"/>
    <w:rsid w:val="00E839CC"/>
    <w:rsid w:val="00E83DA9"/>
    <w:rsid w:val="00E85F61"/>
    <w:rsid w:val="00E861B5"/>
    <w:rsid w:val="00E8711F"/>
    <w:rsid w:val="00E878C2"/>
    <w:rsid w:val="00E87CC0"/>
    <w:rsid w:val="00E905CE"/>
    <w:rsid w:val="00E9214C"/>
    <w:rsid w:val="00E92428"/>
    <w:rsid w:val="00E9284A"/>
    <w:rsid w:val="00E92B01"/>
    <w:rsid w:val="00E93558"/>
    <w:rsid w:val="00E9367B"/>
    <w:rsid w:val="00E940DB"/>
    <w:rsid w:val="00E94BE4"/>
    <w:rsid w:val="00E95B1F"/>
    <w:rsid w:val="00E96829"/>
    <w:rsid w:val="00E96A1B"/>
    <w:rsid w:val="00EA1DAD"/>
    <w:rsid w:val="00EA2EB8"/>
    <w:rsid w:val="00EA3859"/>
    <w:rsid w:val="00EA3A54"/>
    <w:rsid w:val="00EA504D"/>
    <w:rsid w:val="00EA53D7"/>
    <w:rsid w:val="00EA5614"/>
    <w:rsid w:val="00EA576E"/>
    <w:rsid w:val="00EA65B8"/>
    <w:rsid w:val="00EA79E9"/>
    <w:rsid w:val="00EB0836"/>
    <w:rsid w:val="00EB099B"/>
    <w:rsid w:val="00EB0F04"/>
    <w:rsid w:val="00EB1A26"/>
    <w:rsid w:val="00EB2888"/>
    <w:rsid w:val="00EB378E"/>
    <w:rsid w:val="00EB4164"/>
    <w:rsid w:val="00EB4F2A"/>
    <w:rsid w:val="00EB5131"/>
    <w:rsid w:val="00EB5588"/>
    <w:rsid w:val="00EB62FA"/>
    <w:rsid w:val="00EB6891"/>
    <w:rsid w:val="00EB6A9E"/>
    <w:rsid w:val="00EC0453"/>
    <w:rsid w:val="00EC09FC"/>
    <w:rsid w:val="00EC0B9D"/>
    <w:rsid w:val="00EC358C"/>
    <w:rsid w:val="00EC413E"/>
    <w:rsid w:val="00EC4638"/>
    <w:rsid w:val="00EC5BE9"/>
    <w:rsid w:val="00EC5F6A"/>
    <w:rsid w:val="00EC6B61"/>
    <w:rsid w:val="00EC7056"/>
    <w:rsid w:val="00EC7C19"/>
    <w:rsid w:val="00ED004B"/>
    <w:rsid w:val="00ED03CF"/>
    <w:rsid w:val="00ED0982"/>
    <w:rsid w:val="00ED0E86"/>
    <w:rsid w:val="00ED13A2"/>
    <w:rsid w:val="00ED1614"/>
    <w:rsid w:val="00ED23F1"/>
    <w:rsid w:val="00ED3790"/>
    <w:rsid w:val="00ED642E"/>
    <w:rsid w:val="00ED651D"/>
    <w:rsid w:val="00ED6FB0"/>
    <w:rsid w:val="00ED7463"/>
    <w:rsid w:val="00EE1F8D"/>
    <w:rsid w:val="00EE225F"/>
    <w:rsid w:val="00EE2F21"/>
    <w:rsid w:val="00EE3217"/>
    <w:rsid w:val="00EE3465"/>
    <w:rsid w:val="00EE3A44"/>
    <w:rsid w:val="00EE3DEF"/>
    <w:rsid w:val="00EE428A"/>
    <w:rsid w:val="00EE4ABB"/>
    <w:rsid w:val="00EE4AFD"/>
    <w:rsid w:val="00EE573F"/>
    <w:rsid w:val="00EE5BCD"/>
    <w:rsid w:val="00EE5FA0"/>
    <w:rsid w:val="00EE6008"/>
    <w:rsid w:val="00EE6287"/>
    <w:rsid w:val="00EE75DA"/>
    <w:rsid w:val="00EE7DFF"/>
    <w:rsid w:val="00EF0D0E"/>
    <w:rsid w:val="00EF0DEC"/>
    <w:rsid w:val="00EF24E6"/>
    <w:rsid w:val="00EF3FAF"/>
    <w:rsid w:val="00EF532C"/>
    <w:rsid w:val="00EF62D3"/>
    <w:rsid w:val="00EF6C7E"/>
    <w:rsid w:val="00EF7C3F"/>
    <w:rsid w:val="00F00941"/>
    <w:rsid w:val="00F00D59"/>
    <w:rsid w:val="00F00EDB"/>
    <w:rsid w:val="00F01341"/>
    <w:rsid w:val="00F01F63"/>
    <w:rsid w:val="00F04407"/>
    <w:rsid w:val="00F058FB"/>
    <w:rsid w:val="00F05E7A"/>
    <w:rsid w:val="00F0688E"/>
    <w:rsid w:val="00F06C39"/>
    <w:rsid w:val="00F07259"/>
    <w:rsid w:val="00F07FB1"/>
    <w:rsid w:val="00F10688"/>
    <w:rsid w:val="00F11B11"/>
    <w:rsid w:val="00F120A2"/>
    <w:rsid w:val="00F124B8"/>
    <w:rsid w:val="00F13075"/>
    <w:rsid w:val="00F1343F"/>
    <w:rsid w:val="00F14446"/>
    <w:rsid w:val="00F1483E"/>
    <w:rsid w:val="00F14B98"/>
    <w:rsid w:val="00F14D1F"/>
    <w:rsid w:val="00F15213"/>
    <w:rsid w:val="00F15AD5"/>
    <w:rsid w:val="00F168A4"/>
    <w:rsid w:val="00F170C1"/>
    <w:rsid w:val="00F17CC9"/>
    <w:rsid w:val="00F209EB"/>
    <w:rsid w:val="00F20CE9"/>
    <w:rsid w:val="00F22C71"/>
    <w:rsid w:val="00F2391F"/>
    <w:rsid w:val="00F24757"/>
    <w:rsid w:val="00F2631F"/>
    <w:rsid w:val="00F26C46"/>
    <w:rsid w:val="00F3003B"/>
    <w:rsid w:val="00F301EB"/>
    <w:rsid w:val="00F319AD"/>
    <w:rsid w:val="00F31D06"/>
    <w:rsid w:val="00F34258"/>
    <w:rsid w:val="00F35779"/>
    <w:rsid w:val="00F37DA1"/>
    <w:rsid w:val="00F37FEB"/>
    <w:rsid w:val="00F409FD"/>
    <w:rsid w:val="00F41F89"/>
    <w:rsid w:val="00F42290"/>
    <w:rsid w:val="00F43D67"/>
    <w:rsid w:val="00F43E4C"/>
    <w:rsid w:val="00F44410"/>
    <w:rsid w:val="00F46714"/>
    <w:rsid w:val="00F46F0A"/>
    <w:rsid w:val="00F4732B"/>
    <w:rsid w:val="00F52CB5"/>
    <w:rsid w:val="00F52CEA"/>
    <w:rsid w:val="00F538A3"/>
    <w:rsid w:val="00F54EC2"/>
    <w:rsid w:val="00F5626A"/>
    <w:rsid w:val="00F5689C"/>
    <w:rsid w:val="00F63247"/>
    <w:rsid w:val="00F641D9"/>
    <w:rsid w:val="00F64AB8"/>
    <w:rsid w:val="00F65E91"/>
    <w:rsid w:val="00F65FBD"/>
    <w:rsid w:val="00F65FE0"/>
    <w:rsid w:val="00F66F97"/>
    <w:rsid w:val="00F67ED6"/>
    <w:rsid w:val="00F705D4"/>
    <w:rsid w:val="00F7208F"/>
    <w:rsid w:val="00F72BB2"/>
    <w:rsid w:val="00F73378"/>
    <w:rsid w:val="00F73DD8"/>
    <w:rsid w:val="00F75E03"/>
    <w:rsid w:val="00F76005"/>
    <w:rsid w:val="00F774B4"/>
    <w:rsid w:val="00F775B2"/>
    <w:rsid w:val="00F77791"/>
    <w:rsid w:val="00F77E42"/>
    <w:rsid w:val="00F80B68"/>
    <w:rsid w:val="00F80C87"/>
    <w:rsid w:val="00F8348E"/>
    <w:rsid w:val="00F83DC9"/>
    <w:rsid w:val="00F8466B"/>
    <w:rsid w:val="00F849F4"/>
    <w:rsid w:val="00F85985"/>
    <w:rsid w:val="00F862CC"/>
    <w:rsid w:val="00F86D0A"/>
    <w:rsid w:val="00F86D2E"/>
    <w:rsid w:val="00F8704C"/>
    <w:rsid w:val="00F90734"/>
    <w:rsid w:val="00F909A1"/>
    <w:rsid w:val="00F918E5"/>
    <w:rsid w:val="00F92179"/>
    <w:rsid w:val="00F92350"/>
    <w:rsid w:val="00F925A4"/>
    <w:rsid w:val="00F92D1E"/>
    <w:rsid w:val="00F92E53"/>
    <w:rsid w:val="00F948DB"/>
    <w:rsid w:val="00FA005D"/>
    <w:rsid w:val="00FA1AAF"/>
    <w:rsid w:val="00FA1EC7"/>
    <w:rsid w:val="00FA2094"/>
    <w:rsid w:val="00FA23A4"/>
    <w:rsid w:val="00FA2804"/>
    <w:rsid w:val="00FA2BA7"/>
    <w:rsid w:val="00FA308C"/>
    <w:rsid w:val="00FA38E4"/>
    <w:rsid w:val="00FA5280"/>
    <w:rsid w:val="00FA563E"/>
    <w:rsid w:val="00FA7025"/>
    <w:rsid w:val="00FB1684"/>
    <w:rsid w:val="00FB241E"/>
    <w:rsid w:val="00FB2FFA"/>
    <w:rsid w:val="00FB30E5"/>
    <w:rsid w:val="00FB4169"/>
    <w:rsid w:val="00FB6C7C"/>
    <w:rsid w:val="00FB787D"/>
    <w:rsid w:val="00FB7CF4"/>
    <w:rsid w:val="00FC09D7"/>
    <w:rsid w:val="00FC0E82"/>
    <w:rsid w:val="00FC1D07"/>
    <w:rsid w:val="00FC2082"/>
    <w:rsid w:val="00FC2D68"/>
    <w:rsid w:val="00FC3E1B"/>
    <w:rsid w:val="00FC4630"/>
    <w:rsid w:val="00FD1576"/>
    <w:rsid w:val="00FD2F35"/>
    <w:rsid w:val="00FD3C7E"/>
    <w:rsid w:val="00FD3E76"/>
    <w:rsid w:val="00FD454B"/>
    <w:rsid w:val="00FD47BE"/>
    <w:rsid w:val="00FD5302"/>
    <w:rsid w:val="00FD74E7"/>
    <w:rsid w:val="00FD7754"/>
    <w:rsid w:val="00FE0B6E"/>
    <w:rsid w:val="00FE1402"/>
    <w:rsid w:val="00FE22CA"/>
    <w:rsid w:val="00FE2751"/>
    <w:rsid w:val="00FE2DBE"/>
    <w:rsid w:val="00FE68C9"/>
    <w:rsid w:val="00FE7BEF"/>
    <w:rsid w:val="00FF0037"/>
    <w:rsid w:val="00FF0E2E"/>
    <w:rsid w:val="00FF209D"/>
    <w:rsid w:val="00FF3569"/>
    <w:rsid w:val="00FF42D8"/>
    <w:rsid w:val="00FF5623"/>
    <w:rsid w:val="00FF73C2"/>
    <w:rsid w:val="00FF7BD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17A5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27A"/>
    <w:pPr>
      <w:spacing w:after="100" w:line="400" w:lineRule="exact"/>
      <w:jc w:val="both"/>
    </w:pPr>
    <w:rPr>
      <w:rFonts w:ascii="Century Schoolbook" w:hAnsi="Century Schoolbook"/>
      <w:sz w:val="27"/>
    </w:rPr>
  </w:style>
  <w:style w:type="paragraph" w:styleId="Heading1">
    <w:name w:val="heading 1"/>
    <w:basedOn w:val="Normal"/>
    <w:next w:val="Normal"/>
    <w:qFormat/>
    <w:rsid w:val="0047127A"/>
    <w:pPr>
      <w:keepNext/>
      <w:spacing w:before="140" w:line="240" w:lineRule="atLeast"/>
      <w:jc w:val="center"/>
      <w:outlineLvl w:val="0"/>
    </w:pPr>
    <w:rPr>
      <w:b/>
      <w:smallCaps/>
    </w:rPr>
  </w:style>
  <w:style w:type="paragraph" w:styleId="Heading2">
    <w:name w:val="heading 2"/>
    <w:basedOn w:val="Normal"/>
    <w:next w:val="Normal"/>
    <w:qFormat/>
    <w:rsid w:val="0047127A"/>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47127A"/>
    <w:pPr>
      <w:keepNext/>
      <w:tabs>
        <w:tab w:val="left" w:pos="1584"/>
      </w:tabs>
      <w:spacing w:before="140" w:line="240" w:lineRule="atLeast"/>
      <w:ind w:left="1584" w:hanging="432"/>
      <w:jc w:val="left"/>
      <w:outlineLvl w:val="2"/>
    </w:pPr>
    <w:rPr>
      <w:i/>
    </w:rPr>
  </w:style>
  <w:style w:type="paragraph" w:styleId="Heading4">
    <w:name w:val="heading 4"/>
    <w:basedOn w:val="Normal"/>
    <w:rsid w:val="0047127A"/>
    <w:pPr>
      <w:keepNext/>
      <w:tabs>
        <w:tab w:val="left" w:pos="2016"/>
      </w:tabs>
      <w:spacing w:before="140" w:line="240" w:lineRule="atLeast"/>
      <w:ind w:left="2016" w:hanging="432"/>
      <w:jc w:val="left"/>
      <w:outlineLvl w:val="3"/>
    </w:pPr>
    <w:rPr>
      <w:i/>
    </w:rPr>
  </w:style>
  <w:style w:type="paragraph" w:styleId="Heading5">
    <w:name w:val="heading 5"/>
    <w:basedOn w:val="Normal"/>
    <w:rsid w:val="0047127A"/>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7127A"/>
    <w:pPr>
      <w:ind w:left="720"/>
    </w:pPr>
  </w:style>
  <w:style w:type="paragraph" w:styleId="Footer">
    <w:name w:val="footer"/>
    <w:basedOn w:val="Normal"/>
    <w:qFormat/>
    <w:rsid w:val="0047127A"/>
    <w:pPr>
      <w:tabs>
        <w:tab w:val="center" w:pos="3960"/>
        <w:tab w:val="right" w:pos="10080"/>
      </w:tabs>
      <w:spacing w:after="0" w:line="240" w:lineRule="auto"/>
      <w:jc w:val="center"/>
    </w:pPr>
    <w:rPr>
      <w:sz w:val="22"/>
    </w:rPr>
  </w:style>
  <w:style w:type="paragraph" w:styleId="Header">
    <w:name w:val="header"/>
    <w:basedOn w:val="Normal"/>
    <w:qFormat/>
    <w:rsid w:val="0047127A"/>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47127A"/>
    <w:rPr>
      <w:rFonts w:ascii="Century Schoolbook" w:hAnsi="Century Schoolbook"/>
      <w:b/>
      <w:i w:val="0"/>
      <w:position w:val="4"/>
      <w:sz w:val="27"/>
      <w:vertAlign w:val="superscript"/>
    </w:rPr>
  </w:style>
  <w:style w:type="paragraph" w:styleId="FootnoteText">
    <w:name w:val="footnote text"/>
    <w:basedOn w:val="Normal"/>
    <w:link w:val="FootnoteTextChar"/>
    <w:rsid w:val="0047127A"/>
    <w:pPr>
      <w:spacing w:line="300" w:lineRule="exact"/>
    </w:pPr>
  </w:style>
  <w:style w:type="paragraph" w:customStyle="1" w:styleId="Title1">
    <w:name w:val="Title1"/>
    <w:basedOn w:val="Normal"/>
    <w:rsid w:val="0047127A"/>
    <w:pPr>
      <w:tabs>
        <w:tab w:val="left" w:pos="5760"/>
        <w:tab w:val="left" w:pos="6480"/>
      </w:tabs>
      <w:spacing w:line="240" w:lineRule="atLeast"/>
    </w:pPr>
  </w:style>
  <w:style w:type="paragraph" w:customStyle="1" w:styleId="Recommend">
    <w:name w:val="Recommend"/>
    <w:basedOn w:val="Normal"/>
    <w:rsid w:val="0047127A"/>
  </w:style>
  <w:style w:type="paragraph" w:customStyle="1" w:styleId="Summary">
    <w:name w:val="Summary"/>
    <w:basedOn w:val="Normal"/>
    <w:rsid w:val="0047127A"/>
    <w:pPr>
      <w:ind w:left="2160" w:hanging="2160"/>
    </w:pPr>
  </w:style>
  <w:style w:type="paragraph" w:customStyle="1" w:styleId="Text">
    <w:name w:val="Text"/>
    <w:basedOn w:val="Normal"/>
    <w:link w:val="TextChar"/>
    <w:rsid w:val="0047127A"/>
    <w:pPr>
      <w:tabs>
        <w:tab w:val="left" w:pos="720"/>
        <w:tab w:val="left" w:pos="1440"/>
        <w:tab w:val="left" w:pos="2160"/>
        <w:tab w:val="center" w:pos="4320"/>
      </w:tabs>
      <w:spacing w:line="480" w:lineRule="atLeast"/>
      <w:ind w:firstLine="540"/>
    </w:pPr>
  </w:style>
  <w:style w:type="paragraph" w:styleId="Date">
    <w:name w:val="Date"/>
    <w:basedOn w:val="Normal"/>
    <w:semiHidden/>
    <w:rsid w:val="0047127A"/>
    <w:pPr>
      <w:jc w:val="right"/>
    </w:pPr>
  </w:style>
  <w:style w:type="character" w:styleId="PageNumber">
    <w:name w:val="page number"/>
    <w:basedOn w:val="DefaultParagraphFont"/>
    <w:semiHidden/>
    <w:rsid w:val="0047127A"/>
  </w:style>
  <w:style w:type="paragraph" w:customStyle="1" w:styleId="subject">
    <w:name w:val="subject"/>
    <w:basedOn w:val="Normal"/>
    <w:rsid w:val="0047127A"/>
    <w:pPr>
      <w:tabs>
        <w:tab w:val="left" w:pos="1008"/>
      </w:tabs>
      <w:ind w:left="990" w:hanging="990"/>
    </w:pPr>
    <w:rPr>
      <w:b/>
    </w:rPr>
  </w:style>
  <w:style w:type="paragraph" w:customStyle="1" w:styleId="Titles">
    <w:name w:val="Titles"/>
    <w:basedOn w:val="Normal"/>
    <w:rsid w:val="0047127A"/>
    <w:pPr>
      <w:tabs>
        <w:tab w:val="left" w:pos="2160"/>
      </w:tabs>
      <w:ind w:left="2160" w:hanging="2160"/>
    </w:pPr>
    <w:rPr>
      <w:b/>
    </w:rPr>
  </w:style>
  <w:style w:type="paragraph" w:styleId="TOAHeading">
    <w:name w:val="toa heading"/>
    <w:basedOn w:val="Normal"/>
    <w:next w:val="Normal"/>
    <w:semiHidden/>
    <w:rsid w:val="0047127A"/>
    <w:pPr>
      <w:spacing w:before="120"/>
    </w:pPr>
    <w:rPr>
      <w:b/>
    </w:rPr>
  </w:style>
  <w:style w:type="paragraph" w:styleId="TOC1">
    <w:name w:val="toc 1"/>
    <w:basedOn w:val="Normal"/>
    <w:next w:val="Normal"/>
    <w:autoRedefine/>
    <w:semiHidden/>
    <w:rsid w:val="0047127A"/>
  </w:style>
  <w:style w:type="paragraph" w:styleId="TOC2">
    <w:name w:val="toc 2"/>
    <w:basedOn w:val="Normal"/>
    <w:next w:val="Normal"/>
    <w:autoRedefine/>
    <w:semiHidden/>
    <w:rsid w:val="0047127A"/>
    <w:pPr>
      <w:ind w:left="259"/>
    </w:pPr>
  </w:style>
  <w:style w:type="paragraph" w:styleId="TOC3">
    <w:name w:val="toc 3"/>
    <w:basedOn w:val="Normal"/>
    <w:next w:val="Normal"/>
    <w:autoRedefine/>
    <w:semiHidden/>
    <w:rsid w:val="0047127A"/>
    <w:pPr>
      <w:ind w:left="520"/>
    </w:pPr>
  </w:style>
  <w:style w:type="paragraph" w:styleId="TOC4">
    <w:name w:val="toc 4"/>
    <w:basedOn w:val="Normal"/>
    <w:next w:val="Normal"/>
    <w:autoRedefine/>
    <w:semiHidden/>
    <w:rsid w:val="0047127A"/>
    <w:pPr>
      <w:ind w:left="780"/>
    </w:pPr>
  </w:style>
  <w:style w:type="paragraph" w:styleId="TOC5">
    <w:name w:val="toc 5"/>
    <w:basedOn w:val="Normal"/>
    <w:next w:val="Normal"/>
    <w:autoRedefine/>
    <w:semiHidden/>
    <w:rsid w:val="0047127A"/>
    <w:pPr>
      <w:ind w:left="1040"/>
    </w:pPr>
  </w:style>
  <w:style w:type="paragraph" w:styleId="TOC6">
    <w:name w:val="toc 6"/>
    <w:basedOn w:val="Normal"/>
    <w:next w:val="Normal"/>
    <w:autoRedefine/>
    <w:semiHidden/>
    <w:rsid w:val="0047127A"/>
    <w:pPr>
      <w:ind w:left="1300"/>
    </w:pPr>
  </w:style>
  <w:style w:type="paragraph" w:styleId="TOC7">
    <w:name w:val="toc 7"/>
    <w:basedOn w:val="Normal"/>
    <w:next w:val="Normal"/>
    <w:autoRedefine/>
    <w:semiHidden/>
    <w:rsid w:val="0047127A"/>
    <w:pPr>
      <w:ind w:left="1560"/>
    </w:pPr>
  </w:style>
  <w:style w:type="paragraph" w:styleId="TOC8">
    <w:name w:val="toc 8"/>
    <w:basedOn w:val="Normal"/>
    <w:next w:val="Normal"/>
    <w:autoRedefine/>
    <w:semiHidden/>
    <w:rsid w:val="0047127A"/>
    <w:pPr>
      <w:ind w:left="1820"/>
    </w:pPr>
  </w:style>
  <w:style w:type="paragraph" w:styleId="TOC9">
    <w:name w:val="toc 9"/>
    <w:basedOn w:val="Normal"/>
    <w:next w:val="Normal"/>
    <w:autoRedefine/>
    <w:semiHidden/>
    <w:rsid w:val="0047127A"/>
    <w:pPr>
      <w:ind w:left="2080"/>
    </w:pPr>
  </w:style>
  <w:style w:type="paragraph" w:customStyle="1" w:styleId="Contents">
    <w:name w:val="Contents"/>
    <w:basedOn w:val="Normal"/>
    <w:rsid w:val="0047127A"/>
    <w:pPr>
      <w:jc w:val="center"/>
    </w:pPr>
    <w:rPr>
      <w:b/>
      <w:spacing w:val="100"/>
    </w:rPr>
  </w:style>
  <w:style w:type="character" w:customStyle="1" w:styleId="FootnoteTextChar">
    <w:name w:val="Footnote Text Char"/>
    <w:basedOn w:val="DefaultParagraphFont"/>
    <w:link w:val="FootnoteText"/>
    <w:rsid w:val="00FF73C2"/>
    <w:rPr>
      <w:rFonts w:ascii="Century Schoolbook" w:hAnsi="Century Schoolbook"/>
      <w:sz w:val="27"/>
    </w:rPr>
  </w:style>
  <w:style w:type="paragraph" w:styleId="BalloonText">
    <w:name w:val="Balloon Text"/>
    <w:basedOn w:val="Normal"/>
    <w:link w:val="BalloonTextChar"/>
    <w:uiPriority w:val="99"/>
    <w:semiHidden/>
    <w:unhideWhenUsed/>
    <w:rsid w:val="003E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1B4"/>
    <w:rPr>
      <w:rFonts w:ascii="Segoe UI" w:hAnsi="Segoe UI" w:cs="Segoe UI"/>
      <w:sz w:val="18"/>
      <w:szCs w:val="18"/>
    </w:rPr>
  </w:style>
  <w:style w:type="character" w:styleId="CommentReference">
    <w:name w:val="annotation reference"/>
    <w:basedOn w:val="DefaultParagraphFont"/>
    <w:uiPriority w:val="99"/>
    <w:semiHidden/>
    <w:unhideWhenUsed/>
    <w:rsid w:val="00AE6100"/>
    <w:rPr>
      <w:sz w:val="16"/>
      <w:szCs w:val="16"/>
    </w:rPr>
  </w:style>
  <w:style w:type="paragraph" w:styleId="CommentText">
    <w:name w:val="annotation text"/>
    <w:basedOn w:val="Normal"/>
    <w:link w:val="CommentTextChar"/>
    <w:uiPriority w:val="99"/>
    <w:unhideWhenUsed/>
    <w:rsid w:val="00AE6100"/>
    <w:rPr>
      <w:sz w:val="20"/>
    </w:rPr>
  </w:style>
  <w:style w:type="character" w:customStyle="1" w:styleId="CommentTextChar">
    <w:name w:val="Comment Text Char"/>
    <w:basedOn w:val="DefaultParagraphFont"/>
    <w:link w:val="CommentText"/>
    <w:uiPriority w:val="99"/>
    <w:rsid w:val="00AE6100"/>
  </w:style>
  <w:style w:type="paragraph" w:styleId="CommentSubject">
    <w:name w:val="annotation subject"/>
    <w:basedOn w:val="CommentText"/>
    <w:next w:val="CommentText"/>
    <w:link w:val="CommentSubjectChar"/>
    <w:uiPriority w:val="99"/>
    <w:semiHidden/>
    <w:unhideWhenUsed/>
    <w:rsid w:val="00AE6100"/>
    <w:rPr>
      <w:b/>
      <w:bCs/>
    </w:rPr>
  </w:style>
  <w:style w:type="character" w:customStyle="1" w:styleId="CommentSubjectChar">
    <w:name w:val="Comment Subject Char"/>
    <w:basedOn w:val="CommentTextChar"/>
    <w:link w:val="CommentSubject"/>
    <w:uiPriority w:val="99"/>
    <w:semiHidden/>
    <w:rsid w:val="00AE6100"/>
    <w:rPr>
      <w:b/>
      <w:bCs/>
    </w:rPr>
  </w:style>
  <w:style w:type="paragraph" w:styleId="Revision">
    <w:name w:val="Revision"/>
    <w:hidden/>
    <w:uiPriority w:val="99"/>
    <w:semiHidden/>
    <w:rsid w:val="007F3CDC"/>
    <w:rPr>
      <w:sz w:val="26"/>
    </w:rPr>
  </w:style>
  <w:style w:type="paragraph" w:customStyle="1" w:styleId="MainText">
    <w:name w:val="Main Text"/>
    <w:basedOn w:val="Normal"/>
    <w:link w:val="MainTextChar"/>
    <w:qFormat/>
    <w:rsid w:val="003E0ED3"/>
    <w:pPr>
      <w:spacing w:line="480" w:lineRule="atLeast"/>
      <w:ind w:firstLine="720"/>
    </w:pPr>
  </w:style>
  <w:style w:type="character" w:customStyle="1" w:styleId="MainTextChar">
    <w:name w:val="Main Text Char"/>
    <w:link w:val="MainText"/>
    <w:rsid w:val="003E0ED3"/>
    <w:rPr>
      <w:sz w:val="26"/>
    </w:rPr>
  </w:style>
  <w:style w:type="paragraph" w:styleId="BodyText">
    <w:name w:val="Body Text"/>
    <w:basedOn w:val="Normal"/>
    <w:link w:val="BodyTextChar"/>
    <w:qFormat/>
    <w:rsid w:val="0047127A"/>
  </w:style>
  <w:style w:type="character" w:customStyle="1" w:styleId="BodyTextChar">
    <w:name w:val="Body Text Char"/>
    <w:basedOn w:val="DefaultParagraphFont"/>
    <w:link w:val="BodyText"/>
    <w:rsid w:val="0047127A"/>
    <w:rPr>
      <w:rFonts w:ascii="Century Schoolbook" w:hAnsi="Century Schoolbook"/>
      <w:sz w:val="27"/>
    </w:rPr>
  </w:style>
  <w:style w:type="character" w:customStyle="1" w:styleId="TextChar">
    <w:name w:val="Text Char"/>
    <w:link w:val="Text"/>
    <w:rsid w:val="00424FAC"/>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580404">
      <w:bodyDiv w:val="1"/>
      <w:marLeft w:val="0"/>
      <w:marRight w:val="0"/>
      <w:marTop w:val="0"/>
      <w:marBottom w:val="0"/>
      <w:divBdr>
        <w:top w:val="none" w:sz="0" w:space="0" w:color="auto"/>
        <w:left w:val="none" w:sz="0" w:space="0" w:color="auto"/>
        <w:bottom w:val="none" w:sz="0" w:space="0" w:color="auto"/>
        <w:right w:val="none" w:sz="0" w:space="0" w:color="auto"/>
      </w:divBdr>
    </w:div>
    <w:div w:id="124472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853FE-6FCC-48CB-B6C9-62B0A974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13848</Words>
  <Characters>72984</Characters>
  <Application>Microsoft Office Word</Application>
  <DocSecurity>0</DocSecurity>
  <Lines>608</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2022-07-28T18:09:00Z</dcterms:created>
  <dcterms:modified xsi:type="dcterms:W3CDTF">2022-07-28T18:56:00Z</dcterms:modified>
</cp:coreProperties>
</file>