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A66334" w:rsidP="0052255D">
      <w:pPr>
        <w:tabs>
          <w:tab w:val="left" w:pos="1440"/>
          <w:tab w:val="left" w:pos="4680"/>
          <w:tab w:val="center" w:pos="7200"/>
        </w:tabs>
        <w:spacing w:after="0"/>
        <w:jc w:val="center"/>
        <w:rPr>
          <w:sz w:val="36"/>
        </w:rPr>
      </w:pPr>
      <w:r>
        <w:rPr>
          <w:b/>
          <w:sz w:val="36"/>
        </w:rPr>
        <w:t>IN THE SUPREME COURT OF CALIFORNIA</w:t>
      </w:r>
    </w:p>
    <w:p w:rsidR="0052255D" w:rsidP="0052255D">
      <w:pPr>
        <w:tabs>
          <w:tab w:val="left" w:pos="1440"/>
          <w:tab w:val="left" w:pos="4680"/>
          <w:tab w:val="center" w:pos="7200"/>
        </w:tabs>
        <w:spacing w:after="0"/>
        <w:jc w:val="center"/>
      </w:pPr>
    </w:p>
    <w:p w:rsidR="0052255D" w:rsidP="0052255D">
      <w:pPr>
        <w:tabs>
          <w:tab w:val="left" w:pos="1440"/>
          <w:tab w:val="left" w:pos="4680"/>
          <w:tab w:val="center" w:pos="7200"/>
        </w:tabs>
        <w:spacing w:after="0"/>
        <w:jc w:val="center"/>
      </w:pPr>
      <w:r>
        <w:t>THE PEOPLE</w:t>
      </w:r>
      <w:r w:rsidR="001B4629">
        <w:t>,</w:t>
      </w:r>
    </w:p>
    <w:p w:rsidR="0052255D" w:rsidP="0052255D">
      <w:pPr>
        <w:tabs>
          <w:tab w:val="left" w:pos="1440"/>
          <w:tab w:val="left" w:pos="4680"/>
          <w:tab w:val="center" w:pos="7200"/>
        </w:tabs>
        <w:spacing w:after="0"/>
        <w:jc w:val="center"/>
      </w:pPr>
      <w:r>
        <w:t>Plaintiff and Respondent</w:t>
      </w:r>
      <w:r w:rsidR="001B4629">
        <w:t>,</w:t>
      </w:r>
    </w:p>
    <w:p w:rsidR="0052255D" w:rsidP="0052255D">
      <w:pPr>
        <w:tabs>
          <w:tab w:val="left" w:pos="1440"/>
          <w:tab w:val="left" w:pos="4680"/>
          <w:tab w:val="center" w:pos="7200"/>
        </w:tabs>
        <w:spacing w:after="0"/>
        <w:jc w:val="center"/>
      </w:pPr>
      <w:r>
        <w:t>v.</w:t>
      </w:r>
    </w:p>
    <w:p w:rsidR="0052255D" w:rsidP="0052255D">
      <w:pPr>
        <w:tabs>
          <w:tab w:val="left" w:pos="1440"/>
          <w:tab w:val="left" w:pos="4680"/>
          <w:tab w:val="center" w:pos="7200"/>
        </w:tabs>
        <w:spacing w:after="0"/>
        <w:jc w:val="center"/>
      </w:pPr>
      <w:r>
        <w:t>TUPOUTOE MATAELE</w:t>
      </w:r>
      <w:r w:rsidR="001B4629">
        <w:t>,</w:t>
      </w:r>
    </w:p>
    <w:p w:rsidR="0052255D" w:rsidP="0052255D">
      <w:pPr>
        <w:tabs>
          <w:tab w:val="left" w:pos="1440"/>
          <w:tab w:val="left" w:pos="4680"/>
          <w:tab w:val="center" w:pos="7200"/>
        </w:tabs>
        <w:spacing w:after="0"/>
        <w:jc w:val="center"/>
      </w:pPr>
      <w:r>
        <w:t>Defendant and Appellant.</w:t>
      </w:r>
    </w:p>
    <w:p w:rsidR="0052255D" w:rsidP="0052255D">
      <w:pPr>
        <w:tabs>
          <w:tab w:val="left" w:pos="1440"/>
          <w:tab w:val="left" w:pos="4680"/>
          <w:tab w:val="center" w:pos="7200"/>
        </w:tabs>
        <w:spacing w:after="0"/>
        <w:jc w:val="center"/>
      </w:pPr>
    </w:p>
    <w:p w:rsidR="0052255D" w:rsidP="0052255D">
      <w:pPr>
        <w:tabs>
          <w:tab w:val="left" w:pos="1440"/>
          <w:tab w:val="left" w:pos="4680"/>
          <w:tab w:val="center" w:pos="7200"/>
        </w:tabs>
        <w:spacing w:after="0"/>
        <w:jc w:val="center"/>
      </w:pPr>
      <w:r>
        <w:t>S138052</w:t>
      </w:r>
    </w:p>
    <w:p w:rsidR="0052255D" w:rsidP="0052255D">
      <w:pPr>
        <w:tabs>
          <w:tab w:val="left" w:pos="1440"/>
          <w:tab w:val="left" w:pos="4680"/>
          <w:tab w:val="center" w:pos="7200"/>
        </w:tabs>
        <w:spacing w:after="0"/>
        <w:jc w:val="center"/>
      </w:pPr>
    </w:p>
    <w:p w:rsidR="0052255D" w:rsidP="0052255D">
      <w:pPr>
        <w:tabs>
          <w:tab w:val="left" w:pos="1440"/>
          <w:tab w:val="left" w:pos="4680"/>
          <w:tab w:val="center" w:pos="7200"/>
        </w:tabs>
        <w:spacing w:after="0"/>
        <w:jc w:val="center"/>
      </w:pPr>
      <w:r>
        <w:t>Orange County Superior Court</w:t>
      </w:r>
    </w:p>
    <w:p w:rsidR="0052255D" w:rsidP="0052255D">
      <w:pPr>
        <w:tabs>
          <w:tab w:val="left" w:pos="1440"/>
          <w:tab w:val="left" w:pos="4680"/>
          <w:tab w:val="center" w:pos="7200"/>
        </w:tabs>
        <w:spacing w:after="0"/>
        <w:jc w:val="center"/>
      </w:pPr>
      <w:r>
        <w:t>00NF1347</w:t>
      </w:r>
    </w:p>
    <w:p w:rsidR="0052255D" w:rsidP="0052255D">
      <w:pPr>
        <w:pBdr>
          <w:bottom w:val="single" w:sz="4" w:space="1" w:color="auto"/>
        </w:pBdr>
        <w:tabs>
          <w:tab w:val="left" w:pos="1440"/>
          <w:tab w:val="left" w:pos="4680"/>
          <w:tab w:val="center" w:pos="7200"/>
        </w:tabs>
        <w:spacing w:after="0"/>
        <w:jc w:val="center"/>
      </w:pPr>
    </w:p>
    <w:p w:rsidR="0052255D" w:rsidP="0052255D">
      <w:pPr>
        <w:tabs>
          <w:tab w:val="left" w:pos="1440"/>
          <w:tab w:val="left" w:pos="4680"/>
          <w:tab w:val="center" w:pos="7200"/>
        </w:tabs>
        <w:spacing w:after="0"/>
        <w:jc w:val="center"/>
      </w:pPr>
    </w:p>
    <w:p w:rsidR="00FB3E90" w:rsidRPr="00FB3E90" w:rsidP="00FB3E90">
      <w:pPr>
        <w:tabs>
          <w:tab w:val="left" w:pos="1440"/>
          <w:tab w:val="left" w:pos="4680"/>
          <w:tab w:val="center" w:pos="7200"/>
        </w:tabs>
        <w:spacing w:after="0"/>
        <w:jc w:val="center"/>
        <w:rPr>
          <w:color w:val="C0C0C0"/>
        </w:rPr>
      </w:pPr>
      <w:r w:rsidRPr="00FB3E90">
        <w:t>July 21, 2022</w:t>
      </w:r>
    </w:p>
    <w:p w:rsidR="00FB3E90" w:rsidRPr="00FB3E90" w:rsidP="00FB3E90">
      <w:pPr>
        <w:tabs>
          <w:tab w:val="left" w:pos="1440"/>
          <w:tab w:val="left" w:pos="4680"/>
          <w:tab w:val="center" w:pos="7200"/>
        </w:tabs>
        <w:spacing w:after="0"/>
        <w:jc w:val="center"/>
        <w:rPr>
          <w:color w:val="C0C0C0"/>
        </w:rPr>
      </w:pPr>
    </w:p>
    <w:p w:rsidR="00FB3E90" w:rsidRPr="00FB3E90" w:rsidP="00FB3E90">
      <w:pPr>
        <w:tabs>
          <w:tab w:val="left" w:pos="1440"/>
          <w:tab w:val="left" w:pos="4680"/>
          <w:tab w:val="center" w:pos="7200"/>
        </w:tabs>
        <w:spacing w:after="0"/>
      </w:pPr>
      <w:r w:rsidRPr="00FB3E90">
        <w:t xml:space="preserve">Chief Justice Cantil-Sakauye authored the opinion of the Court, in which Justices Corrigan, </w:t>
      </w:r>
      <w:r>
        <w:t>Groban</w:t>
      </w:r>
      <w:r w:rsidRPr="00FB3E90">
        <w:t>,</w:t>
      </w:r>
      <w:r>
        <w:t xml:space="preserve"> Jenkins</w:t>
      </w:r>
      <w:r w:rsidRPr="00FB3E90">
        <w:t>,</w:t>
      </w:r>
      <w:r>
        <w:t xml:space="preserve"> </w:t>
      </w:r>
      <w:r w:rsidRPr="00FB3E90">
        <w:t>and Guerrero concurred.</w:t>
      </w:r>
    </w:p>
    <w:p w:rsidR="00FB3E90" w:rsidRPr="00FB3E90" w:rsidP="00FB3E90">
      <w:pPr>
        <w:tabs>
          <w:tab w:val="left" w:pos="1440"/>
          <w:tab w:val="left" w:pos="4680"/>
          <w:tab w:val="center" w:pos="7200"/>
        </w:tabs>
        <w:spacing w:after="0"/>
      </w:pPr>
    </w:p>
    <w:p w:rsidR="00FB3E90" w:rsidP="00FB3E90">
      <w:pPr>
        <w:tabs>
          <w:tab w:val="left" w:pos="1440"/>
          <w:tab w:val="left" w:pos="4680"/>
          <w:tab w:val="center" w:pos="7200"/>
        </w:tabs>
        <w:spacing w:after="0"/>
      </w:pPr>
      <w:r w:rsidRPr="00FB3E90">
        <w:t xml:space="preserve">Justice Groban </w:t>
      </w:r>
      <w:r w:rsidR="00747313">
        <w:t>filed</w:t>
      </w:r>
      <w:r w:rsidRPr="00FB3E90">
        <w:t xml:space="preserve"> a concurring opinion.</w:t>
      </w:r>
    </w:p>
    <w:p w:rsidR="00FB3E90" w:rsidRPr="00FB3E90" w:rsidP="00FB3E90">
      <w:pPr>
        <w:tabs>
          <w:tab w:val="left" w:pos="1440"/>
          <w:tab w:val="left" w:pos="4680"/>
          <w:tab w:val="center" w:pos="7200"/>
        </w:tabs>
        <w:spacing w:after="0"/>
        <w:rPr>
          <w:color w:val="C0C0C0"/>
        </w:rPr>
      </w:pPr>
    </w:p>
    <w:p w:rsidR="00FB3E90" w:rsidRPr="00FB3E90" w:rsidP="00FB3E90">
      <w:pPr>
        <w:pBdr>
          <w:bottom w:val="single" w:sz="4" w:space="1" w:color="auto"/>
        </w:pBdr>
        <w:tabs>
          <w:tab w:val="left" w:pos="1440"/>
          <w:tab w:val="left" w:pos="4680"/>
          <w:tab w:val="center" w:pos="7200"/>
        </w:tabs>
        <w:spacing w:after="0"/>
        <w:jc w:val="left"/>
      </w:pPr>
      <w:r w:rsidRPr="00FB3E90">
        <w:t xml:space="preserve">Justice Liu </w:t>
      </w:r>
      <w:r w:rsidR="00747313">
        <w:t>filed</w:t>
      </w:r>
      <w:r w:rsidRPr="00FB3E90">
        <w:t xml:space="preserve"> a concurring </w:t>
      </w:r>
      <w:r>
        <w:t xml:space="preserve">and dissenting </w:t>
      </w:r>
      <w:r w:rsidRPr="00FB3E90">
        <w:t>opinion</w:t>
      </w:r>
      <w:r w:rsidR="00747313">
        <w:t>,</w:t>
      </w:r>
      <w:r w:rsidRPr="00FB3E90">
        <w:t xml:space="preserve"> in which Justice Kruger concurred.</w:t>
      </w:r>
    </w:p>
    <w:p w:rsidR="0052255D" w:rsidRPr="0052255D" w:rsidP="0052255D">
      <w:pPr>
        <w:pBdr>
          <w:bottom w:val="single" w:sz="4" w:space="1" w:color="auto"/>
        </w:pBdr>
        <w:tabs>
          <w:tab w:val="left" w:pos="1440"/>
          <w:tab w:val="left" w:pos="4680"/>
          <w:tab w:val="center" w:pos="7200"/>
        </w:tabs>
        <w:spacing w:line="480" w:lineRule="atLeast"/>
        <w:jc w:val="left"/>
      </w:pPr>
      <w:bookmarkStart w:id="0" w:name="Return"/>
      <w:bookmarkEnd w:id="0"/>
    </w:p>
    <w:p w:rsidR="0052255D">
      <w:pPr>
        <w:tabs>
          <w:tab w:val="left" w:pos="1440"/>
          <w:tab w:val="left" w:pos="4680"/>
          <w:tab w:val="center" w:pos="7200"/>
        </w:tabs>
        <w:spacing w:line="480" w:lineRule="atLeast"/>
        <w:sectPr w:rsidSect="0052255D">
          <w:headerReference w:type="even" r:id="rId5"/>
          <w:headerReference w:type="default" r:id="rId6"/>
          <w:footerReference w:type="even" r:id="rId7"/>
          <w:footerReference w:type="default" r:id="rId8"/>
          <w:headerReference w:type="first" r:id="rId9"/>
          <w:footerReference w:type="first" r:id="rId10"/>
          <w:pgSz w:w="12240" w:h="15840"/>
          <w:pgMar w:top="1800" w:right="2160" w:bottom="1440" w:left="2160" w:header="720" w:footer="720" w:gutter="0"/>
          <w:pgNumType w:fmt="lowerRoman"/>
          <w:cols w:space="720"/>
          <w:titlePg/>
          <w:docGrid w:linePitch="367"/>
        </w:sectPr>
      </w:pPr>
    </w:p>
    <w:p w:rsidR="0052255D" w:rsidP="0052255D">
      <w:pPr>
        <w:tabs>
          <w:tab w:val="left" w:pos="1440"/>
          <w:tab w:val="left" w:pos="4680"/>
          <w:tab w:val="center" w:pos="7200"/>
        </w:tabs>
        <w:jc w:val="center"/>
      </w:pPr>
      <w:r>
        <w:t>PEOPLE v. MATAELE</w:t>
      </w:r>
    </w:p>
    <w:p w:rsidR="0052255D" w:rsidP="0052255D">
      <w:pPr>
        <w:tabs>
          <w:tab w:val="left" w:pos="1440"/>
          <w:tab w:val="left" w:pos="4680"/>
          <w:tab w:val="center" w:pos="7200"/>
        </w:tabs>
        <w:jc w:val="center"/>
      </w:pPr>
      <w:r>
        <w:t>S138052</w:t>
      </w:r>
    </w:p>
    <w:p w:rsidR="0052255D" w:rsidP="0052255D">
      <w:pPr>
        <w:tabs>
          <w:tab w:val="left" w:pos="1440"/>
          <w:tab w:val="left" w:pos="4680"/>
          <w:tab w:val="center" w:pos="7200"/>
        </w:tabs>
        <w:jc w:val="center"/>
      </w:pPr>
    </w:p>
    <w:p w:rsidR="0052255D" w:rsidP="0052255D">
      <w:pPr>
        <w:tabs>
          <w:tab w:val="left" w:pos="1440"/>
          <w:tab w:val="left" w:pos="4680"/>
          <w:tab w:val="center" w:pos="7200"/>
        </w:tabs>
        <w:jc w:val="center"/>
      </w:pPr>
      <w:r>
        <w:t>Opinion of the Court by Cantil-Sakauye, C. J.</w:t>
      </w:r>
    </w:p>
    <w:p w:rsidR="0052255D" w:rsidRPr="0052255D" w:rsidP="0052255D">
      <w:pPr>
        <w:tabs>
          <w:tab w:val="left" w:pos="1440"/>
          <w:tab w:val="left" w:pos="4680"/>
          <w:tab w:val="center" w:pos="7200"/>
        </w:tabs>
        <w:jc w:val="center"/>
      </w:pPr>
    </w:p>
    <w:p w:rsidR="00333CF8" w:rsidRPr="0052255D" w:rsidP="0052255D">
      <w:pPr>
        <w:tabs>
          <w:tab w:val="left" w:pos="1440"/>
        </w:tabs>
        <w:ind w:firstLine="720"/>
      </w:pPr>
      <w:r w:rsidRPr="0052255D">
        <w:t xml:space="preserve">A jury convicted defendant Tupoutoe Mataele of the murder </w:t>
      </w:r>
      <w:r w:rsidRPr="0052255D" w:rsidR="00513ABA">
        <w:t>of Danell Johnson,</w:t>
      </w:r>
      <w:r w:rsidRPr="0052255D" w:rsidR="00513ABA">
        <w:rPr>
          <w:color w:val="000000" w:themeColor="text1"/>
        </w:rPr>
        <w:t xml:space="preserve"> </w:t>
      </w:r>
      <w:r w:rsidRPr="0052255D" w:rsidR="006E39DB">
        <w:rPr>
          <w:color w:val="000000" w:themeColor="text1"/>
        </w:rPr>
        <w:t xml:space="preserve">the </w:t>
      </w:r>
      <w:r w:rsidRPr="0052255D" w:rsidR="00E2674E">
        <w:rPr>
          <w:color w:val="000000" w:themeColor="text1"/>
        </w:rPr>
        <w:t xml:space="preserve">attempted murder of John Masubayashi, and </w:t>
      </w:r>
      <w:r w:rsidRPr="0052255D" w:rsidR="00EF00DB">
        <w:rPr>
          <w:color w:val="000000" w:themeColor="text1"/>
        </w:rPr>
        <w:t xml:space="preserve">conspiracy to </w:t>
      </w:r>
      <w:r w:rsidRPr="0052255D" w:rsidR="000B614C">
        <w:rPr>
          <w:color w:val="000000" w:themeColor="text1"/>
        </w:rPr>
        <w:t xml:space="preserve">commit the </w:t>
      </w:r>
      <w:r w:rsidRPr="0052255D" w:rsidR="00EF00DB">
        <w:rPr>
          <w:color w:val="000000" w:themeColor="text1"/>
        </w:rPr>
        <w:t>murder</w:t>
      </w:r>
      <w:r w:rsidRPr="0052255D" w:rsidR="000B614C">
        <w:rPr>
          <w:color w:val="000000" w:themeColor="text1"/>
        </w:rPr>
        <w:t>s of</w:t>
      </w:r>
      <w:r w:rsidRPr="0052255D" w:rsidR="00EF00DB">
        <w:rPr>
          <w:color w:val="000000" w:themeColor="text1"/>
        </w:rPr>
        <w:t xml:space="preserve"> </w:t>
      </w:r>
      <w:r w:rsidRPr="0052255D" w:rsidR="00DC38DB">
        <w:rPr>
          <w:color w:val="000000" w:themeColor="text1"/>
        </w:rPr>
        <w:t>J</w:t>
      </w:r>
      <w:r w:rsidRPr="0052255D" w:rsidR="00DC38DB">
        <w:t>ohnson and Masubayashi</w:t>
      </w:r>
      <w:r w:rsidRPr="0052255D" w:rsidR="00A25E55">
        <w:t xml:space="preserve">. </w:t>
      </w:r>
      <w:r w:rsidRPr="0052255D" w:rsidR="00DC38DB">
        <w:t xml:space="preserve"> </w:t>
      </w:r>
      <w:r w:rsidRPr="0052255D" w:rsidR="00EF00DB">
        <w:t>(</w:t>
      </w:r>
      <w:r w:rsidRPr="0052255D" w:rsidR="00A92154">
        <w:t>Pen. Code, §</w:t>
      </w:r>
      <w:r w:rsidRPr="0052255D" w:rsidR="00A25E55">
        <w:t>§</w:t>
      </w:r>
      <w:r w:rsidRPr="0052255D" w:rsidR="00A92154">
        <w:t> 187, subd. (a)</w:t>
      </w:r>
      <w:r w:rsidRPr="0052255D" w:rsidR="00A25E55">
        <w:t>,</w:t>
      </w:r>
      <w:r w:rsidRPr="0052255D" w:rsidR="00A25E55">
        <w:rPr>
          <w:color w:val="FF0000"/>
        </w:rPr>
        <w:t xml:space="preserve"> </w:t>
      </w:r>
      <w:r w:rsidRPr="0052255D" w:rsidR="00A25E55">
        <w:t xml:space="preserve">664, subd. (a), </w:t>
      </w:r>
      <w:r w:rsidRPr="0052255D" w:rsidR="00EF00DB">
        <w:t>182</w:t>
      </w:r>
      <w:r w:rsidRPr="0052255D" w:rsidR="001D12D3">
        <w:t>, subd. (a)</w:t>
      </w:r>
      <w:r w:rsidRPr="0052255D" w:rsidR="00250529">
        <w:t>.</w:t>
      </w:r>
      <w:r w:rsidRPr="0052255D" w:rsidR="00EF00DB">
        <w:t>)</w:t>
      </w:r>
      <w:r>
        <w:rPr>
          <w:rStyle w:val="FootnoteReference"/>
        </w:rPr>
        <w:footnoteReference w:id="3"/>
      </w:r>
      <w:r w:rsidRPr="0052255D" w:rsidR="00164FCD">
        <w:t xml:space="preserve">  </w:t>
      </w:r>
      <w:r w:rsidRPr="0052255D" w:rsidR="00DB2D4B">
        <w:t>The jury</w:t>
      </w:r>
      <w:r w:rsidRPr="0052255D" w:rsidR="00164FCD">
        <w:t xml:space="preserve"> </w:t>
      </w:r>
      <w:r w:rsidRPr="0052255D" w:rsidR="00D75630">
        <w:t xml:space="preserve">found true </w:t>
      </w:r>
      <w:r w:rsidRPr="0052255D" w:rsidR="006E39DB">
        <w:t xml:space="preserve">a </w:t>
      </w:r>
      <w:r w:rsidRPr="0052255D" w:rsidR="00D75630">
        <w:t xml:space="preserve">special </w:t>
      </w:r>
      <w:r w:rsidRPr="0052255D" w:rsidR="00E21CF7">
        <w:t>circumstance allegation that defendant committed the murder while lying in wait</w:t>
      </w:r>
      <w:r w:rsidRPr="0052255D">
        <w:t xml:space="preserve">.  </w:t>
      </w:r>
      <w:r w:rsidRPr="0052255D" w:rsidR="008647C9">
        <w:t>(§ 190.2,</w:t>
      </w:r>
      <w:r w:rsidRPr="0052255D" w:rsidR="00251F1D">
        <w:t xml:space="preserve"> former</w:t>
      </w:r>
      <w:r w:rsidRPr="0052255D" w:rsidR="008647C9">
        <w:t xml:space="preserve"> subd. (a)(15)</w:t>
      </w:r>
      <w:r w:rsidRPr="0052255D" w:rsidR="00516054">
        <w:t>.</w:t>
      </w:r>
      <w:r w:rsidRPr="0052255D" w:rsidR="008647C9">
        <w:t>)</w:t>
      </w:r>
      <w:r w:rsidRPr="0052255D" w:rsidR="00516054">
        <w:t xml:space="preserve">  </w:t>
      </w:r>
      <w:r w:rsidRPr="0052255D" w:rsidR="00F066FD">
        <w:t>The jury</w:t>
      </w:r>
      <w:r w:rsidRPr="0052255D" w:rsidR="00516054">
        <w:t xml:space="preserve"> </w:t>
      </w:r>
      <w:r w:rsidRPr="0052255D" w:rsidR="00FB3B41">
        <w:t xml:space="preserve">also </w:t>
      </w:r>
      <w:r w:rsidRPr="0052255D" w:rsidR="00227F91">
        <w:t xml:space="preserve">found </w:t>
      </w:r>
      <w:r w:rsidRPr="0052255D" w:rsidR="0004229F">
        <w:t xml:space="preserve">true </w:t>
      </w:r>
      <w:r w:rsidRPr="0052255D" w:rsidR="006E39DB">
        <w:t xml:space="preserve">an </w:t>
      </w:r>
      <w:r w:rsidRPr="0052255D" w:rsidR="00227F91">
        <w:t xml:space="preserve">allegation that defendant </w:t>
      </w:r>
      <w:r w:rsidRPr="0052255D" w:rsidR="00CA6235">
        <w:t xml:space="preserve">was armed with and </w:t>
      </w:r>
      <w:r w:rsidRPr="0052255D" w:rsidR="00227F91">
        <w:t>personally used a firearm in the commission of each offense</w:t>
      </w:r>
      <w:r w:rsidRPr="0052255D">
        <w:t xml:space="preserve">. </w:t>
      </w:r>
      <w:r w:rsidRPr="0052255D" w:rsidR="0004229F">
        <w:t xml:space="preserve"> </w:t>
      </w:r>
      <w:r w:rsidRPr="0052255D" w:rsidR="00FB0173">
        <w:t>(</w:t>
      </w:r>
      <w:r w:rsidRPr="0052255D" w:rsidR="00984F2D">
        <w:t>§</w:t>
      </w:r>
      <w:r w:rsidRPr="0052255D" w:rsidR="00FB0173">
        <w:t>§ </w:t>
      </w:r>
      <w:r w:rsidRPr="0052255D" w:rsidR="00CA6235">
        <w:t xml:space="preserve">12022, subd. (a)(1), </w:t>
      </w:r>
      <w:r w:rsidRPr="0052255D" w:rsidR="00FB0173">
        <w:t xml:space="preserve">12022.5, subd. (a).)  </w:t>
      </w:r>
      <w:r w:rsidRPr="0052255D" w:rsidR="003141D7">
        <w:t>Allegations</w:t>
      </w:r>
      <w:r w:rsidRPr="0052255D" w:rsidR="00416A54">
        <w:t xml:space="preserve"> that defendant suffered a prior </w:t>
      </w:r>
      <w:r w:rsidRPr="0052255D" w:rsidR="002231D9">
        <w:t xml:space="preserve">strike conviction </w:t>
      </w:r>
      <w:r w:rsidRPr="0052255D" w:rsidR="00C17226">
        <w:t xml:space="preserve">and </w:t>
      </w:r>
      <w:r w:rsidRPr="0052255D" w:rsidR="00F6178D">
        <w:t xml:space="preserve">a </w:t>
      </w:r>
      <w:r w:rsidRPr="0052255D" w:rsidR="00C17226">
        <w:t>prior serious felony conviction</w:t>
      </w:r>
      <w:r w:rsidRPr="0052255D" w:rsidR="003141D7">
        <w:t xml:space="preserve"> were found true</w:t>
      </w:r>
      <w:r w:rsidRPr="0052255D" w:rsidR="00617FA8">
        <w:t xml:space="preserve">. </w:t>
      </w:r>
      <w:r w:rsidRPr="0052255D" w:rsidR="00C17226">
        <w:t xml:space="preserve"> (</w:t>
      </w:r>
      <w:r w:rsidRPr="0052255D" w:rsidR="003D43AA">
        <w:t>§</w:t>
      </w:r>
      <w:r w:rsidRPr="0052255D" w:rsidR="00C17226">
        <w:t>§ </w:t>
      </w:r>
      <w:r w:rsidRPr="0052255D" w:rsidR="00F26C16">
        <w:t xml:space="preserve">667, subd. (a), </w:t>
      </w:r>
      <w:r w:rsidRPr="0052255D" w:rsidR="00617FA8">
        <w:t>1170.12, subds.</w:t>
      </w:r>
      <w:r w:rsidR="00D472CD">
        <w:t xml:space="preserve"> </w:t>
      </w:r>
      <w:r w:rsidRPr="0052255D" w:rsidR="00617FA8">
        <w:t>(a)–(d).</w:t>
      </w:r>
      <w:r w:rsidRPr="0052255D" w:rsidR="00C17226">
        <w:t xml:space="preserve">)  </w:t>
      </w:r>
      <w:r w:rsidRPr="0052255D" w:rsidR="00515F56">
        <w:t xml:space="preserve"> </w:t>
      </w:r>
      <w:r w:rsidRPr="0052255D" w:rsidR="00FD6063">
        <w:t xml:space="preserve"> </w:t>
      </w:r>
    </w:p>
    <w:p w:rsidR="00EB73DA" w:rsidRPr="0052255D" w:rsidP="0052255D">
      <w:pPr>
        <w:tabs>
          <w:tab w:val="left" w:pos="1440"/>
        </w:tabs>
        <w:ind w:firstLine="720"/>
      </w:pPr>
      <w:r w:rsidRPr="0052255D">
        <w:t xml:space="preserve">Following a penalty trial, the jury returned a verdict of death.  </w:t>
      </w:r>
      <w:r w:rsidRPr="0052255D" w:rsidR="009751B5">
        <w:t>The trial court denied defendant’s motion</w:t>
      </w:r>
      <w:r w:rsidRPr="0052255D" w:rsidR="008339F2">
        <w:t>s</w:t>
      </w:r>
      <w:r w:rsidRPr="0052255D" w:rsidR="009751B5">
        <w:t xml:space="preserve"> </w:t>
      </w:r>
      <w:r w:rsidRPr="0052255D" w:rsidR="001E3D53">
        <w:t xml:space="preserve">to set aside the death verdict and </w:t>
      </w:r>
      <w:r w:rsidRPr="0052255D" w:rsidR="009751B5">
        <w:t>for a new trial</w:t>
      </w:r>
      <w:r w:rsidRPr="0052255D" w:rsidR="001E3D53">
        <w:t xml:space="preserve">, and sentenced defendant to death.  </w:t>
      </w:r>
      <w:r w:rsidRPr="0052255D" w:rsidR="00DB4A8C">
        <w:t>It</w:t>
      </w:r>
      <w:r w:rsidRPr="0052255D" w:rsidR="00AD7827">
        <w:t xml:space="preserve"> also </w:t>
      </w:r>
      <w:r w:rsidRPr="0052255D" w:rsidR="009B2B13">
        <w:t xml:space="preserve">sentenced him to a </w:t>
      </w:r>
      <w:r w:rsidRPr="0052255D" w:rsidR="0008764C">
        <w:t xml:space="preserve">life term plus nine years for the </w:t>
      </w:r>
      <w:r w:rsidRPr="0052255D" w:rsidR="00D22FCE">
        <w:t xml:space="preserve">attempted murder </w:t>
      </w:r>
      <w:r w:rsidRPr="0052255D" w:rsidR="00FA3645">
        <w:t>count</w:t>
      </w:r>
      <w:r w:rsidRPr="0052255D" w:rsidR="00224F34">
        <w:t xml:space="preserve">, the </w:t>
      </w:r>
      <w:r w:rsidRPr="0052255D" w:rsidR="00E23C26">
        <w:t xml:space="preserve">firearm </w:t>
      </w:r>
      <w:r w:rsidRPr="0052255D" w:rsidR="00224F34">
        <w:t xml:space="preserve">enhancements, and </w:t>
      </w:r>
      <w:r w:rsidRPr="0052255D" w:rsidR="00FA3645">
        <w:t xml:space="preserve">the </w:t>
      </w:r>
      <w:r w:rsidRPr="0052255D" w:rsidR="00224F34">
        <w:t xml:space="preserve">prior </w:t>
      </w:r>
      <w:r w:rsidRPr="0052255D" w:rsidR="00811052">
        <w:t xml:space="preserve">serious felony </w:t>
      </w:r>
      <w:r w:rsidRPr="0052255D" w:rsidR="00224F34">
        <w:t>conviction</w:t>
      </w:r>
      <w:r w:rsidRPr="0052255D" w:rsidR="00FA3645">
        <w:t xml:space="preserve">.  </w:t>
      </w:r>
      <w:r w:rsidRPr="0052255D" w:rsidR="00DB4A8C">
        <w:t xml:space="preserve">The court </w:t>
      </w:r>
      <w:r w:rsidRPr="0052255D" w:rsidR="005A2E1E">
        <w:t>stayed the</w:t>
      </w:r>
      <w:r w:rsidRPr="0052255D" w:rsidR="00FA3645">
        <w:t xml:space="preserve"> sentence </w:t>
      </w:r>
      <w:r w:rsidR="00776ACB">
        <w:t xml:space="preserve">on </w:t>
      </w:r>
      <w:r w:rsidRPr="0052255D" w:rsidR="00FA3645">
        <w:t>the conspiracy count pursuant to section 654.</w:t>
      </w:r>
      <w:r w:rsidRPr="0052255D" w:rsidR="009B2B13">
        <w:t xml:space="preserve"> </w:t>
      </w:r>
      <w:r w:rsidRPr="0052255D" w:rsidR="00AD7827">
        <w:t xml:space="preserve"> </w:t>
      </w:r>
      <w:r w:rsidRPr="0052255D">
        <w:t>This appeal is automatic.  (§ 1239, subd. (b).)</w:t>
      </w:r>
    </w:p>
    <w:p w:rsidR="00EB73DA" w:rsidRPr="0052255D" w:rsidP="0052255D">
      <w:pPr>
        <w:tabs>
          <w:tab w:val="left" w:pos="1440"/>
        </w:tabs>
        <w:ind w:firstLine="720"/>
      </w:pPr>
      <w:r w:rsidRPr="0052255D">
        <w:t>W</w:t>
      </w:r>
      <w:r w:rsidRPr="0052255D" w:rsidR="00173EB1">
        <w:t>e affirm the judgment in its entirety</w:t>
      </w:r>
      <w:r w:rsidRPr="0052255D">
        <w:t>.</w:t>
      </w:r>
      <w:r w:rsidRPr="0052255D" w:rsidR="006E37A6">
        <w:t xml:space="preserve">  We also remand the matter for the limited purpose of allowing the trial court to </w:t>
      </w:r>
      <w:r w:rsidRPr="0052255D" w:rsidR="00597D13">
        <w:t xml:space="preserve">consider whether to </w:t>
      </w:r>
      <w:r w:rsidRPr="0052255D" w:rsidR="006E37A6">
        <w:t xml:space="preserve">exercise its newly conferred discretion under Senate Bill No. 620 </w:t>
      </w:r>
      <w:r w:rsidR="004A13B5">
        <w:t>(2017</w:t>
      </w:r>
      <w:r w:rsidR="00CE3686">
        <w:t>–</w:t>
      </w:r>
      <w:r w:rsidR="004A13B5">
        <w:t xml:space="preserve">2018 Reg. Sess.) </w:t>
      </w:r>
      <w:r w:rsidRPr="0052255D" w:rsidR="006E37A6">
        <w:t xml:space="preserve">and </w:t>
      </w:r>
      <w:r w:rsidR="004A13B5">
        <w:t xml:space="preserve">Senate Bill No. </w:t>
      </w:r>
      <w:r w:rsidRPr="0052255D" w:rsidR="006E37A6">
        <w:t xml:space="preserve">1393 </w:t>
      </w:r>
      <w:r w:rsidR="004A13B5">
        <w:t>(2017</w:t>
      </w:r>
      <w:r w:rsidR="00CE3686">
        <w:t>–</w:t>
      </w:r>
      <w:r w:rsidR="004A13B5">
        <w:t xml:space="preserve">2018 Reg. Sess.) </w:t>
      </w:r>
      <w:r w:rsidRPr="0052255D" w:rsidR="006E37A6">
        <w:t>to strike the firearm and prior serious felony enhancements, respectively.</w:t>
      </w:r>
    </w:p>
    <w:p w:rsidR="00EB73DA" w:rsidRPr="0052255D" w:rsidP="0052255D">
      <w:pPr>
        <w:pStyle w:val="Heading1"/>
      </w:pPr>
      <w:bookmarkStart w:id="1" w:name="_Toc94515321"/>
      <w:r w:rsidRPr="0052255D">
        <w:t xml:space="preserve">I.  </w:t>
      </w:r>
      <w:r w:rsidRPr="0052255D" w:rsidR="001E650D">
        <w:t>Background</w:t>
      </w:r>
      <w:bookmarkEnd w:id="1"/>
    </w:p>
    <w:p w:rsidR="00346C5F" w:rsidRPr="0052255D" w:rsidP="0052255D">
      <w:pPr>
        <w:pStyle w:val="Heading2"/>
      </w:pPr>
      <w:bookmarkStart w:id="2" w:name="_Toc94515322"/>
      <w:r w:rsidRPr="0052255D">
        <w:t>A.  Guilt Phase Evidence</w:t>
      </w:r>
      <w:bookmarkEnd w:id="2"/>
    </w:p>
    <w:p w:rsidR="001E650D" w:rsidRPr="0052255D" w:rsidP="0052255D">
      <w:pPr>
        <w:pStyle w:val="Heading3"/>
      </w:pPr>
      <w:bookmarkStart w:id="3" w:name="_Toc94515323"/>
      <w:r w:rsidRPr="0052255D">
        <w:t xml:space="preserve">1.  Prosecution </w:t>
      </w:r>
      <w:r w:rsidRPr="0052255D" w:rsidR="00D27C8C">
        <w:t>e</w:t>
      </w:r>
      <w:r w:rsidRPr="0052255D">
        <w:t>vidence</w:t>
      </w:r>
      <w:bookmarkEnd w:id="3"/>
    </w:p>
    <w:p w:rsidR="00DA56A7"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 xml:space="preserve">Defendant participated in a criminal enterprise </w:t>
      </w:r>
      <w:r w:rsidRPr="0052255D" w:rsidR="00892EB5">
        <w:rPr>
          <w:rFonts w:ascii="Century Schoolbook" w:hAnsi="Century Schoolbook"/>
          <w:sz w:val="27"/>
        </w:rPr>
        <w:t>with numerous individuals</w:t>
      </w:r>
      <w:r w:rsidRPr="0052255D">
        <w:rPr>
          <w:rFonts w:ascii="Century Schoolbook" w:hAnsi="Century Schoolbook"/>
          <w:sz w:val="27"/>
        </w:rPr>
        <w:t xml:space="preserve">.  </w:t>
      </w:r>
      <w:r w:rsidRPr="0052255D" w:rsidR="00731F81">
        <w:rPr>
          <w:rFonts w:ascii="Century Schoolbook" w:hAnsi="Century Schoolbook"/>
          <w:sz w:val="27"/>
        </w:rPr>
        <w:t xml:space="preserve">Although the initial enterprise was an ongoing identity theft and bank fraud scheme, </w:t>
      </w:r>
      <w:r w:rsidRPr="0052255D" w:rsidR="00A46C75">
        <w:rPr>
          <w:rFonts w:ascii="Century Schoolbook" w:hAnsi="Century Schoolbook"/>
          <w:sz w:val="27"/>
        </w:rPr>
        <w:t xml:space="preserve">later </w:t>
      </w:r>
      <w:r w:rsidRPr="0052255D" w:rsidR="00731F81">
        <w:rPr>
          <w:rFonts w:ascii="Century Schoolbook" w:hAnsi="Century Schoolbook"/>
          <w:sz w:val="27"/>
        </w:rPr>
        <w:t xml:space="preserve">the venture </w:t>
      </w:r>
      <w:r w:rsidRPr="0052255D" w:rsidR="00A46C75">
        <w:rPr>
          <w:rFonts w:ascii="Century Schoolbook" w:hAnsi="Century Schoolbook"/>
          <w:sz w:val="27"/>
        </w:rPr>
        <w:t xml:space="preserve">included </w:t>
      </w:r>
      <w:r w:rsidRPr="0052255D" w:rsidR="00731F81">
        <w:rPr>
          <w:rFonts w:ascii="Century Schoolbook" w:hAnsi="Century Schoolbook"/>
          <w:sz w:val="27"/>
        </w:rPr>
        <w:t xml:space="preserve">the purchase and sale of methamphetamine.  </w:t>
      </w:r>
      <w:r w:rsidRPr="0052255D">
        <w:rPr>
          <w:rFonts w:ascii="Century Schoolbook" w:hAnsi="Century Schoolbook"/>
          <w:sz w:val="27"/>
          <w:lang w:val="de-DE"/>
        </w:rPr>
        <w:t>Peter Song</w:t>
      </w:r>
      <w:r w:rsidRPr="0052255D">
        <w:rPr>
          <w:rFonts w:ascii="Century Schoolbook" w:hAnsi="Century Schoolbook"/>
          <w:sz w:val="27"/>
        </w:rPr>
        <w:t xml:space="preserve"> managed the group, which also included Johnson, Masubayashi, </w:t>
      </w:r>
      <w:r w:rsidRPr="0052255D" w:rsidR="00361E35">
        <w:rPr>
          <w:rFonts w:ascii="Century Schoolbook" w:hAnsi="Century Schoolbook"/>
          <w:sz w:val="27"/>
        </w:rPr>
        <w:t xml:space="preserve">Minh Nghia </w:t>
      </w:r>
      <w:r w:rsidRPr="0052255D" w:rsidR="009C3D24">
        <w:rPr>
          <w:rFonts w:ascii="Century Schoolbook" w:hAnsi="Century Schoolbook"/>
          <w:sz w:val="27"/>
        </w:rPr>
        <w:t xml:space="preserve">Lee, </w:t>
      </w:r>
      <w:r w:rsidRPr="0052255D">
        <w:rPr>
          <w:rFonts w:ascii="Century Schoolbook" w:hAnsi="Century Schoolbook"/>
          <w:sz w:val="27"/>
        </w:rPr>
        <w:t>James Chung, Ryan Carrillo, David Song, and Tween</w:t>
      </w:r>
      <w:r w:rsidRPr="0052255D" w:rsidR="00847C97">
        <w:rPr>
          <w:rFonts w:ascii="Century Schoolbook" w:hAnsi="Century Schoolbook"/>
          <w:sz w:val="27"/>
        </w:rPr>
        <w:t>e</w:t>
      </w:r>
      <w:r w:rsidRPr="0052255D">
        <w:rPr>
          <w:rFonts w:ascii="Century Schoolbook" w:hAnsi="Century Schoolbook"/>
          <w:sz w:val="27"/>
        </w:rPr>
        <w:t>y Matael</w:t>
      </w:r>
      <w:r w:rsidRPr="0052255D" w:rsidR="00CD3756">
        <w:rPr>
          <w:rFonts w:ascii="Century Schoolbook" w:hAnsi="Century Schoolbook"/>
          <w:sz w:val="27"/>
        </w:rPr>
        <w:t>e (</w:t>
      </w:r>
      <w:r w:rsidRPr="0052255D">
        <w:rPr>
          <w:rFonts w:ascii="Century Schoolbook" w:hAnsi="Century Schoolbook"/>
          <w:sz w:val="27"/>
        </w:rPr>
        <w:t>defendan</w:t>
      </w:r>
      <w:r w:rsidRPr="0052255D" w:rsidR="00412BE2">
        <w:rPr>
          <w:rFonts w:ascii="Century Schoolbook" w:hAnsi="Century Schoolbook"/>
          <w:sz w:val="27"/>
        </w:rPr>
        <w:t xml:space="preserve">t’s </w:t>
      </w:r>
      <w:r w:rsidRPr="0052255D">
        <w:rPr>
          <w:rFonts w:ascii="Century Schoolbook" w:hAnsi="Century Schoolbook"/>
          <w:sz w:val="27"/>
        </w:rPr>
        <w:t>brother</w:t>
      </w:r>
      <w:r w:rsidRPr="0052255D" w:rsidR="00CD3756">
        <w:rPr>
          <w:rFonts w:ascii="Century Schoolbook" w:hAnsi="Century Schoolbook"/>
          <w:sz w:val="27"/>
        </w:rPr>
        <w:t>, nicknamed “Baby”</w:t>
      </w:r>
      <w:r w:rsidRPr="0052255D">
        <w:rPr>
          <w:rFonts w:ascii="Century Schoolbook" w:hAnsi="Century Schoolbook"/>
          <w:sz w:val="27"/>
        </w:rPr>
        <w:t xml:space="preserve">).  </w:t>
      </w:r>
      <w:r w:rsidRPr="0052255D">
        <w:rPr>
          <w:rFonts w:ascii="Century Schoolbook" w:hAnsi="Century Schoolbook"/>
          <w:color w:val="000000" w:themeColor="text1"/>
          <w:sz w:val="27"/>
        </w:rPr>
        <w:t>A</w:t>
      </w:r>
      <w:r w:rsidRPr="0052255D">
        <w:rPr>
          <w:rFonts w:ascii="Century Schoolbook" w:hAnsi="Century Schoolbook"/>
          <w:sz w:val="27"/>
        </w:rPr>
        <w:t xml:space="preserve">t one point, </w:t>
      </w:r>
      <w:r w:rsidRPr="0052255D" w:rsidR="0061086E">
        <w:rPr>
          <w:rFonts w:ascii="Century Schoolbook" w:hAnsi="Century Schoolbook"/>
          <w:sz w:val="27"/>
        </w:rPr>
        <w:t xml:space="preserve">nearly </w:t>
      </w:r>
      <w:r w:rsidRPr="0052255D" w:rsidR="009857E1">
        <w:rPr>
          <w:rFonts w:ascii="Century Schoolbook" w:hAnsi="Century Schoolbook"/>
          <w:sz w:val="27"/>
        </w:rPr>
        <w:t>the entire group</w:t>
      </w:r>
      <w:r w:rsidRPr="0052255D">
        <w:rPr>
          <w:rFonts w:ascii="Century Schoolbook" w:hAnsi="Century Schoolbook"/>
          <w:sz w:val="27"/>
        </w:rPr>
        <w:t xml:space="preserve"> lived together in an apartment in Los Angeles referred to as the “Penthouse</w:t>
      </w:r>
      <w:r w:rsidRPr="0052255D">
        <w:rPr>
          <w:rFonts w:ascii="Century Schoolbook" w:hAnsi="Century Schoolbook"/>
          <w:color w:val="auto"/>
          <w:sz w:val="27"/>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 xml:space="preserve">Several members of the group </w:t>
      </w:r>
      <w:r w:rsidRPr="0052255D" w:rsidR="00C2613A">
        <w:rPr>
          <w:rFonts w:ascii="Century Schoolbook" w:hAnsi="Century Schoolbook"/>
          <w:sz w:val="27"/>
        </w:rPr>
        <w:t xml:space="preserve">also belonged to </w:t>
      </w:r>
      <w:r w:rsidRPr="0052255D" w:rsidR="00E7525A">
        <w:rPr>
          <w:rFonts w:ascii="Century Schoolbook" w:hAnsi="Century Schoolbook"/>
          <w:sz w:val="27"/>
        </w:rPr>
        <w:t xml:space="preserve">criminal </w:t>
      </w:r>
      <w:r w:rsidRPr="0052255D" w:rsidR="00C2613A">
        <w:rPr>
          <w:rFonts w:ascii="Century Schoolbook" w:hAnsi="Century Schoolbook"/>
          <w:sz w:val="27"/>
        </w:rPr>
        <w:t xml:space="preserve">street </w:t>
      </w:r>
      <w:r w:rsidRPr="0052255D">
        <w:rPr>
          <w:rFonts w:ascii="Century Schoolbook" w:hAnsi="Century Schoolbook"/>
          <w:sz w:val="27"/>
        </w:rPr>
        <w:t>gangs</w:t>
      </w:r>
      <w:r w:rsidRPr="0052255D">
        <w:rPr>
          <w:rFonts w:ascii="Century Schoolbook" w:hAnsi="Century Schoolbook"/>
          <w:sz w:val="27"/>
        </w:rPr>
        <w:t xml:space="preserve">.  </w:t>
      </w:r>
      <w:r w:rsidRPr="0052255D" w:rsidR="0025010F">
        <w:rPr>
          <w:rFonts w:ascii="Century Schoolbook" w:hAnsi="Century Schoolbook"/>
          <w:sz w:val="27"/>
        </w:rPr>
        <w:t xml:space="preserve">Masubayashi and Johnson were members of the Tiny Rascals gang. </w:t>
      </w:r>
      <w:r w:rsidRPr="0052255D" w:rsidR="0025010F">
        <w:rPr>
          <w:rFonts w:ascii="Century Schoolbook" w:hAnsi="Century Schoolbook"/>
          <w:color w:val="auto"/>
          <w:sz w:val="27"/>
        </w:rPr>
        <w:t xml:space="preserve"> </w:t>
      </w:r>
      <w:r w:rsidRPr="0052255D">
        <w:rPr>
          <w:rFonts w:ascii="Century Schoolbook" w:hAnsi="Century Schoolbook"/>
          <w:sz w:val="27"/>
        </w:rPr>
        <w:t>Chung, Carrillo, and Baby were members of the Pinoy Real gang.  Defendant was a member of the Sons of S</w:t>
      </w:r>
      <w:r w:rsidRPr="0052255D" w:rsidR="009A6467">
        <w:rPr>
          <w:rFonts w:ascii="Century Schoolbook" w:hAnsi="Century Schoolbook"/>
          <w:sz w:val="27"/>
        </w:rPr>
        <w:t>a</w:t>
      </w:r>
      <w:r w:rsidRPr="0052255D">
        <w:rPr>
          <w:rFonts w:ascii="Century Schoolbook" w:hAnsi="Century Schoolbook"/>
          <w:sz w:val="27"/>
        </w:rPr>
        <w:t xml:space="preserve">moa gang, but </w:t>
      </w:r>
      <w:r w:rsidRPr="0052255D" w:rsidR="00FC7419">
        <w:rPr>
          <w:rFonts w:ascii="Century Schoolbook" w:hAnsi="Century Schoolbook"/>
          <w:sz w:val="27"/>
        </w:rPr>
        <w:t>socialized mostly</w:t>
      </w:r>
      <w:r w:rsidRPr="0052255D">
        <w:rPr>
          <w:rFonts w:ascii="Century Schoolbook" w:hAnsi="Century Schoolbook"/>
          <w:sz w:val="27"/>
        </w:rPr>
        <w:t xml:space="preserve"> with Pinoy Real gang members.  Lee was a member of the Asian Mob Assassins gang</w:t>
      </w:r>
      <w:r w:rsidRPr="0052255D">
        <w:rPr>
          <w:rFonts w:ascii="Century Schoolbook" w:hAnsi="Century Schoolbook"/>
          <w:color w:val="auto"/>
          <w:sz w:val="27"/>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 xml:space="preserve">The shooting of Johnson and Masubayashi stemmed from </w:t>
      </w:r>
      <w:r w:rsidRPr="0052255D" w:rsidR="008C0D3C">
        <w:rPr>
          <w:rFonts w:ascii="Century Schoolbook" w:hAnsi="Century Schoolbook"/>
          <w:sz w:val="27"/>
        </w:rPr>
        <w:t>various</w:t>
      </w:r>
      <w:r w:rsidRPr="0052255D">
        <w:rPr>
          <w:rFonts w:ascii="Century Schoolbook" w:hAnsi="Century Schoolbook"/>
          <w:sz w:val="27"/>
        </w:rPr>
        <w:t xml:space="preserve"> dispute</w:t>
      </w:r>
      <w:r w:rsidRPr="0052255D" w:rsidR="008C0D3C">
        <w:rPr>
          <w:rFonts w:ascii="Century Schoolbook" w:hAnsi="Century Schoolbook"/>
          <w:sz w:val="27"/>
        </w:rPr>
        <w:t>s</w:t>
      </w:r>
      <w:r w:rsidRPr="0052255D">
        <w:rPr>
          <w:rFonts w:ascii="Century Schoolbook" w:hAnsi="Century Schoolbook"/>
          <w:sz w:val="27"/>
        </w:rPr>
        <w:t xml:space="preserve"> </w:t>
      </w:r>
      <w:r w:rsidRPr="0052255D" w:rsidR="00FD4825">
        <w:rPr>
          <w:rFonts w:ascii="Century Schoolbook" w:hAnsi="Century Schoolbook"/>
          <w:sz w:val="27"/>
        </w:rPr>
        <w:t xml:space="preserve">within </w:t>
      </w:r>
      <w:r w:rsidRPr="0052255D" w:rsidR="008C0D3C">
        <w:rPr>
          <w:rFonts w:ascii="Century Schoolbook" w:hAnsi="Century Schoolbook"/>
          <w:sz w:val="27"/>
        </w:rPr>
        <w:t>the group</w:t>
      </w:r>
      <w:r w:rsidRPr="0052255D">
        <w:rPr>
          <w:rFonts w:ascii="Century Schoolbook" w:hAnsi="Century Schoolbook"/>
          <w:sz w:val="27"/>
        </w:rPr>
        <w:t xml:space="preserve">.  Chung was angry with Johnson because Johnson </w:t>
      </w:r>
      <w:r w:rsidRPr="0052255D" w:rsidR="0022090E">
        <w:rPr>
          <w:rFonts w:ascii="Century Schoolbook" w:hAnsi="Century Schoolbook"/>
          <w:sz w:val="27"/>
        </w:rPr>
        <w:t xml:space="preserve">had </w:t>
      </w:r>
      <w:r w:rsidRPr="0052255D">
        <w:rPr>
          <w:rFonts w:ascii="Century Schoolbook" w:hAnsi="Century Schoolbook"/>
          <w:sz w:val="27"/>
        </w:rPr>
        <w:t xml:space="preserve">received a speeding ticket </w:t>
      </w:r>
      <w:r w:rsidRPr="0052255D" w:rsidR="00A9063A">
        <w:rPr>
          <w:rFonts w:ascii="Century Schoolbook" w:hAnsi="Century Schoolbook"/>
          <w:sz w:val="27"/>
        </w:rPr>
        <w:t xml:space="preserve">when he was </w:t>
      </w:r>
      <w:r w:rsidRPr="0052255D">
        <w:rPr>
          <w:rFonts w:ascii="Century Schoolbook" w:hAnsi="Century Schoolbook"/>
          <w:sz w:val="27"/>
        </w:rPr>
        <w:t>driving Chun</w:t>
      </w:r>
      <w:r w:rsidRPr="0052255D" w:rsidR="00F47971">
        <w:rPr>
          <w:rFonts w:ascii="Century Schoolbook" w:hAnsi="Century Schoolbook"/>
          <w:sz w:val="27"/>
        </w:rPr>
        <w:t>g’s</w:t>
      </w:r>
      <w:r w:rsidRPr="0052255D">
        <w:rPr>
          <w:rFonts w:ascii="Century Schoolbook" w:hAnsi="Century Schoolbook"/>
          <w:sz w:val="27"/>
        </w:rPr>
        <w:t xml:space="preserve"> </w:t>
      </w:r>
      <w:r w:rsidRPr="0052255D" w:rsidR="001E75C6">
        <w:rPr>
          <w:rFonts w:ascii="Century Schoolbook" w:hAnsi="Century Schoolbook"/>
          <w:sz w:val="27"/>
        </w:rPr>
        <w:t>Jeep Cherokee</w:t>
      </w:r>
      <w:r w:rsidRPr="0052255D" w:rsidR="006F2468">
        <w:rPr>
          <w:rFonts w:ascii="Century Schoolbook" w:hAnsi="Century Schoolbook"/>
          <w:sz w:val="27"/>
        </w:rPr>
        <w:t xml:space="preserve"> </w:t>
      </w:r>
      <w:r w:rsidRPr="0052255D">
        <w:rPr>
          <w:rFonts w:ascii="Century Schoolbook" w:hAnsi="Century Schoolbook"/>
          <w:sz w:val="27"/>
        </w:rPr>
        <w:t xml:space="preserve">and </w:t>
      </w:r>
      <w:r w:rsidRPr="0052255D" w:rsidR="00964B1B">
        <w:rPr>
          <w:rFonts w:ascii="Century Schoolbook" w:hAnsi="Century Schoolbook"/>
          <w:sz w:val="27"/>
        </w:rPr>
        <w:t xml:space="preserve">had </w:t>
      </w:r>
      <w:r w:rsidRPr="0052255D">
        <w:rPr>
          <w:rFonts w:ascii="Century Schoolbook" w:hAnsi="Century Schoolbook"/>
          <w:sz w:val="27"/>
        </w:rPr>
        <w:t>provided the police officer with false identification.  The police</w:t>
      </w:r>
      <w:r w:rsidRPr="0052255D" w:rsidR="001A67E1">
        <w:rPr>
          <w:rFonts w:ascii="Century Schoolbook" w:hAnsi="Century Schoolbook"/>
          <w:sz w:val="27"/>
        </w:rPr>
        <w:t xml:space="preserve"> went to Chung’s house and questioned him</w:t>
      </w:r>
      <w:r w:rsidRPr="0052255D">
        <w:rPr>
          <w:rFonts w:ascii="Century Schoolbook" w:hAnsi="Century Schoolbook"/>
          <w:color w:val="auto"/>
          <w:sz w:val="27"/>
        </w:rPr>
        <w:t xml:space="preserve">.  </w:t>
      </w:r>
      <w:r w:rsidRPr="0052255D" w:rsidR="00214622">
        <w:rPr>
          <w:rFonts w:ascii="Century Schoolbook" w:hAnsi="Century Schoolbook"/>
          <w:color w:val="auto"/>
          <w:sz w:val="27"/>
          <w:u w:color="FF0000"/>
        </w:rPr>
        <w:t>Chung</w:t>
      </w:r>
      <w:r w:rsidRPr="0052255D" w:rsidR="008339F2">
        <w:rPr>
          <w:rFonts w:ascii="Century Schoolbook" w:hAnsi="Century Schoolbook"/>
          <w:color w:val="auto"/>
          <w:sz w:val="27"/>
          <w:u w:color="FF0000"/>
        </w:rPr>
        <w:t xml:space="preserve"> </w:t>
      </w:r>
      <w:r w:rsidRPr="0052255D" w:rsidR="003304B2">
        <w:rPr>
          <w:rFonts w:ascii="Century Schoolbook" w:hAnsi="Century Schoolbook"/>
          <w:color w:val="auto"/>
          <w:sz w:val="27"/>
          <w:u w:color="FF0000"/>
        </w:rPr>
        <w:t xml:space="preserve">worried </w:t>
      </w:r>
      <w:r w:rsidRPr="0052255D" w:rsidR="00214622">
        <w:rPr>
          <w:rFonts w:ascii="Century Schoolbook" w:hAnsi="Century Schoolbook"/>
          <w:color w:val="auto"/>
          <w:sz w:val="27"/>
          <w:u w:color="FF0000"/>
        </w:rPr>
        <w:t xml:space="preserve">that </w:t>
      </w:r>
      <w:r w:rsidRPr="0052255D" w:rsidR="00C946A1">
        <w:rPr>
          <w:rFonts w:ascii="Century Schoolbook" w:hAnsi="Century Schoolbook"/>
          <w:color w:val="auto"/>
          <w:sz w:val="27"/>
          <w:u w:color="FF0000"/>
        </w:rPr>
        <w:t xml:space="preserve">he would be in violation of </w:t>
      </w:r>
      <w:r w:rsidRPr="0052255D" w:rsidR="00277A46">
        <w:rPr>
          <w:rFonts w:ascii="Century Schoolbook" w:hAnsi="Century Schoolbook"/>
          <w:color w:val="auto"/>
          <w:sz w:val="27"/>
          <w:u w:color="FF0000"/>
        </w:rPr>
        <w:t xml:space="preserve">his </w:t>
      </w:r>
      <w:r w:rsidRPr="0052255D" w:rsidR="00214622">
        <w:rPr>
          <w:rFonts w:ascii="Century Schoolbook" w:hAnsi="Century Schoolbook"/>
          <w:color w:val="auto"/>
          <w:sz w:val="27"/>
          <w:u w:color="FF0000"/>
        </w:rPr>
        <w:t xml:space="preserve">parole </w:t>
      </w:r>
      <w:r w:rsidRPr="0052255D" w:rsidR="00DD0D41">
        <w:rPr>
          <w:rFonts w:ascii="Century Schoolbook" w:hAnsi="Century Schoolbook"/>
          <w:color w:val="auto"/>
          <w:sz w:val="27"/>
          <w:u w:color="FF0000"/>
        </w:rPr>
        <w:t>because of the</w:t>
      </w:r>
      <w:r w:rsidRPr="0052255D" w:rsidR="00214622">
        <w:rPr>
          <w:rFonts w:ascii="Century Schoolbook" w:hAnsi="Century Schoolbook"/>
          <w:color w:val="auto"/>
          <w:sz w:val="27"/>
          <w:u w:color="FF0000"/>
        </w:rPr>
        <w:t xml:space="preserve"> </w:t>
      </w:r>
      <w:r w:rsidRPr="0052255D" w:rsidR="00DD0D41">
        <w:rPr>
          <w:rFonts w:ascii="Century Schoolbook" w:hAnsi="Century Schoolbook"/>
          <w:color w:val="auto"/>
          <w:sz w:val="27"/>
          <w:u w:color="FF0000"/>
        </w:rPr>
        <w:t>car incident</w:t>
      </w:r>
      <w:r w:rsidRPr="0052255D" w:rsidR="00214622">
        <w:rPr>
          <w:rFonts w:ascii="Century Schoolbook" w:hAnsi="Century Schoolbook"/>
          <w:color w:val="auto"/>
          <w:sz w:val="27"/>
          <w:u w:color="FF0000"/>
        </w:rPr>
        <w:t xml:space="preserve">.  </w:t>
      </w:r>
      <w:r w:rsidRPr="0052255D">
        <w:rPr>
          <w:rFonts w:ascii="Century Schoolbook" w:hAnsi="Century Schoolbook"/>
          <w:sz w:val="27"/>
        </w:rPr>
        <w:t xml:space="preserve">Chung was </w:t>
      </w:r>
      <w:r w:rsidRPr="0052255D" w:rsidR="00F43406">
        <w:rPr>
          <w:rFonts w:ascii="Century Schoolbook" w:hAnsi="Century Schoolbook"/>
          <w:sz w:val="27"/>
        </w:rPr>
        <w:t xml:space="preserve">also </w:t>
      </w:r>
      <w:r w:rsidRPr="0052255D">
        <w:rPr>
          <w:rFonts w:ascii="Century Schoolbook" w:hAnsi="Century Schoolbook"/>
          <w:sz w:val="27"/>
        </w:rPr>
        <w:t xml:space="preserve">upset with Masubayashi after Chung was nearly caught committing bank fraud.  Chung threatened </w:t>
      </w:r>
      <w:r w:rsidRPr="0052255D" w:rsidR="00DD1C82">
        <w:rPr>
          <w:rFonts w:ascii="Century Schoolbook" w:hAnsi="Century Schoolbook"/>
          <w:sz w:val="27"/>
        </w:rPr>
        <w:t xml:space="preserve">Masubayashi </w:t>
      </w:r>
      <w:r w:rsidRPr="0052255D">
        <w:rPr>
          <w:rFonts w:ascii="Century Schoolbook" w:hAnsi="Century Schoolbook"/>
          <w:sz w:val="27"/>
        </w:rPr>
        <w:t xml:space="preserve">with a </w:t>
      </w:r>
      <w:r w:rsidRPr="0052255D" w:rsidR="00A1132A">
        <w:rPr>
          <w:rFonts w:ascii="Century Schoolbook" w:hAnsi="Century Schoolbook"/>
          <w:sz w:val="27"/>
        </w:rPr>
        <w:t xml:space="preserve">butcher </w:t>
      </w:r>
      <w:r w:rsidRPr="0052255D">
        <w:rPr>
          <w:rFonts w:ascii="Century Schoolbook" w:hAnsi="Century Schoolbook"/>
          <w:sz w:val="27"/>
        </w:rPr>
        <w:t>knife over the incident and told him to watch his back.  C</w:t>
      </w:r>
      <w:r w:rsidRPr="0052255D" w:rsidR="007E0A4A">
        <w:rPr>
          <w:rFonts w:ascii="Century Schoolbook" w:hAnsi="Century Schoolbook"/>
          <w:sz w:val="27"/>
        </w:rPr>
        <w:t xml:space="preserve">hung called Johnson and Masubayashi “snitches” </w:t>
      </w:r>
      <w:r w:rsidRPr="0052255D" w:rsidR="008E73F0">
        <w:rPr>
          <w:rFonts w:ascii="Century Schoolbook" w:hAnsi="Century Schoolbook"/>
          <w:sz w:val="27"/>
        </w:rPr>
        <w:t>based on the</w:t>
      </w:r>
      <w:r w:rsidRPr="0052255D" w:rsidR="007E0A4A">
        <w:rPr>
          <w:rFonts w:ascii="Century Schoolbook" w:hAnsi="Century Schoolbook"/>
          <w:sz w:val="27"/>
        </w:rPr>
        <w:t xml:space="preserve"> incidents.  C</w:t>
      </w:r>
      <w:r w:rsidRPr="0052255D">
        <w:rPr>
          <w:rFonts w:ascii="Century Schoolbook" w:hAnsi="Century Schoolbook"/>
          <w:sz w:val="27"/>
        </w:rPr>
        <w:t>hung also wanted to replace Masubayashi as Peter Song</w:t>
      </w:r>
      <w:r w:rsidRPr="0052255D" w:rsidR="00206189">
        <w:rPr>
          <w:rFonts w:ascii="Century Schoolbook" w:hAnsi="Century Schoolbook"/>
          <w:color w:val="auto"/>
          <w:sz w:val="27"/>
          <w:u w:color="FF0000"/>
        </w:rPr>
        <w:t>’</w:t>
      </w:r>
      <w:r w:rsidRPr="0052255D">
        <w:rPr>
          <w:rFonts w:ascii="Century Schoolbook" w:hAnsi="Century Schoolbook"/>
          <w:sz w:val="27"/>
        </w:rPr>
        <w:t xml:space="preserve">s second-in-command in the criminal enterprise.  Masubayashi </w:t>
      </w:r>
      <w:r w:rsidRPr="0052255D" w:rsidR="0022255E">
        <w:rPr>
          <w:rFonts w:ascii="Century Schoolbook" w:hAnsi="Century Schoolbook"/>
          <w:sz w:val="27"/>
        </w:rPr>
        <w:t xml:space="preserve">and Johnson </w:t>
      </w:r>
      <w:r w:rsidRPr="0052255D">
        <w:rPr>
          <w:rFonts w:ascii="Century Schoolbook" w:hAnsi="Century Schoolbook"/>
          <w:sz w:val="27"/>
        </w:rPr>
        <w:t xml:space="preserve">eventually moved out of the Penthouse and lived in an apartment </w:t>
      </w:r>
      <w:r w:rsidRPr="0052255D" w:rsidR="00B2103F">
        <w:rPr>
          <w:rFonts w:ascii="Century Schoolbook" w:hAnsi="Century Schoolbook"/>
          <w:sz w:val="27"/>
        </w:rPr>
        <w:t xml:space="preserve">in Anaheim </w:t>
      </w:r>
      <w:r w:rsidRPr="0052255D">
        <w:rPr>
          <w:rFonts w:ascii="Century Schoolbook" w:hAnsi="Century Schoolbook"/>
          <w:sz w:val="27"/>
        </w:rPr>
        <w:t>owned by Taka</w:t>
      </w:r>
      <w:r w:rsidRPr="0052255D" w:rsidR="0055098E">
        <w:rPr>
          <w:rFonts w:ascii="Century Schoolbook" w:hAnsi="Century Schoolbook"/>
          <w:sz w:val="27"/>
        </w:rPr>
        <w:t>hisa</w:t>
      </w:r>
      <w:r w:rsidRPr="0052255D">
        <w:rPr>
          <w:rFonts w:ascii="Century Schoolbook" w:hAnsi="Century Schoolbook"/>
          <w:sz w:val="27"/>
        </w:rPr>
        <w:t xml:space="preserve"> Suzuki.  </w:t>
      </w:r>
    </w:p>
    <w:p w:rsidR="00DA56A7"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sz w:val="27"/>
        </w:rPr>
        <w:t xml:space="preserve">On the evening of November 11, 1997, defendant, Chung, Carrillo, and Lee were at the Penthouse when Chung began complaining about Masubayashi and Johnson.  </w:t>
      </w:r>
      <w:r w:rsidRPr="0052255D" w:rsidR="005F3CAF">
        <w:rPr>
          <w:rFonts w:ascii="Century Schoolbook" w:hAnsi="Century Schoolbook"/>
          <w:color w:val="auto"/>
          <w:sz w:val="27"/>
          <w:u w:color="FF0000"/>
        </w:rPr>
        <w:t>Defendant</w:t>
      </w:r>
      <w:r w:rsidRPr="0052255D">
        <w:rPr>
          <w:rFonts w:ascii="Century Schoolbook" w:hAnsi="Century Schoolbook"/>
          <w:color w:val="auto"/>
          <w:sz w:val="27"/>
          <w:u w:color="FF0000"/>
        </w:rPr>
        <w:t xml:space="preserve"> </w:t>
      </w:r>
      <w:r w:rsidRPr="0052255D" w:rsidR="0064298C">
        <w:rPr>
          <w:rFonts w:ascii="Century Schoolbook" w:hAnsi="Century Schoolbook"/>
          <w:color w:val="auto"/>
          <w:sz w:val="27"/>
          <w:u w:color="FF0000"/>
        </w:rPr>
        <w:t>volunteered to kill Masubayashi, stating</w:t>
      </w:r>
      <w:r w:rsidRPr="0052255D" w:rsidR="004E5EDB">
        <w:rPr>
          <w:rFonts w:ascii="Century Schoolbook" w:hAnsi="Century Schoolbook"/>
          <w:color w:val="auto"/>
          <w:sz w:val="27"/>
          <w:u w:color="FF0000"/>
        </w:rPr>
        <w:t>,</w:t>
      </w:r>
      <w:r w:rsidRPr="0052255D">
        <w:rPr>
          <w:rFonts w:ascii="Century Schoolbook" w:hAnsi="Century Schoolbook"/>
          <w:color w:val="auto"/>
          <w:sz w:val="27"/>
          <w:u w:color="FF0000"/>
        </w:rPr>
        <w:t xml:space="preserve"> “We’re going to handle them</w:t>
      </w:r>
      <w:r w:rsidRPr="0052255D" w:rsidR="00B33A55">
        <w:rPr>
          <w:rFonts w:ascii="Century Schoolbook" w:hAnsi="Century Schoolbook"/>
          <w:color w:val="auto"/>
          <w:sz w:val="27"/>
          <w:u w:color="FF0000"/>
        </w:rPr>
        <w:t>, take care of them</w:t>
      </w:r>
      <w:r w:rsidRPr="0052255D">
        <w:rPr>
          <w:rFonts w:ascii="Century Schoolbook" w:hAnsi="Century Schoolbook"/>
          <w:color w:val="auto"/>
          <w:sz w:val="27"/>
          <w:u w:color="FF0000"/>
        </w:rPr>
        <w:t xml:space="preserve">” and “Let’s go smoke those motherfuckers.”  </w:t>
      </w:r>
      <w:r w:rsidRPr="0052255D" w:rsidR="00A663A8">
        <w:rPr>
          <w:rFonts w:ascii="Century Schoolbook" w:hAnsi="Century Schoolbook"/>
          <w:color w:val="auto"/>
          <w:sz w:val="27"/>
          <w:u w:color="FF0000"/>
        </w:rPr>
        <w:t>Chung</w:t>
      </w:r>
      <w:r w:rsidRPr="0052255D" w:rsidR="004715CB">
        <w:rPr>
          <w:rFonts w:ascii="Century Schoolbook" w:hAnsi="Century Schoolbook"/>
          <w:color w:val="auto"/>
          <w:sz w:val="27"/>
          <w:u w:color="FF0000"/>
        </w:rPr>
        <w:t>, Lee,</w:t>
      </w:r>
      <w:r w:rsidRPr="0052255D" w:rsidR="00A663A8">
        <w:rPr>
          <w:rFonts w:ascii="Century Schoolbook" w:hAnsi="Century Schoolbook"/>
          <w:color w:val="auto"/>
          <w:sz w:val="27"/>
          <w:u w:color="FF0000"/>
        </w:rPr>
        <w:t xml:space="preserve"> </w:t>
      </w:r>
      <w:r w:rsidRPr="0052255D" w:rsidR="00297DA8">
        <w:rPr>
          <w:rFonts w:ascii="Century Schoolbook" w:hAnsi="Century Schoolbook"/>
          <w:color w:val="auto"/>
          <w:sz w:val="27"/>
          <w:u w:color="FF0000"/>
        </w:rPr>
        <w:t xml:space="preserve">and Carrillo responded, “Let’s do it.”  </w:t>
      </w:r>
      <w:r w:rsidRPr="0052255D" w:rsidR="00C22A41">
        <w:rPr>
          <w:rFonts w:ascii="Century Schoolbook" w:hAnsi="Century Schoolbook"/>
          <w:color w:val="auto"/>
          <w:sz w:val="27"/>
          <w:u w:color="FF0000"/>
        </w:rPr>
        <w:t xml:space="preserve">Carrillo noticed that defendant </w:t>
      </w:r>
      <w:r w:rsidR="00AA0600">
        <w:rPr>
          <w:rFonts w:ascii="Century Schoolbook" w:hAnsi="Century Schoolbook"/>
          <w:color w:val="auto"/>
          <w:sz w:val="27"/>
          <w:u w:color="FF0000"/>
        </w:rPr>
        <w:t xml:space="preserve">possessed </w:t>
      </w:r>
      <w:r w:rsidRPr="0052255D" w:rsidR="007924AF">
        <w:rPr>
          <w:rFonts w:ascii="Century Schoolbook" w:hAnsi="Century Schoolbook"/>
          <w:color w:val="auto"/>
          <w:sz w:val="27"/>
          <w:u w:color="FF0000"/>
        </w:rPr>
        <w:t xml:space="preserve">a </w:t>
      </w:r>
      <w:r w:rsidR="00EF52BE">
        <w:rPr>
          <w:rFonts w:ascii="Century Schoolbook" w:hAnsi="Century Schoolbook"/>
          <w:color w:val="auto"/>
          <w:sz w:val="27"/>
          <w:u w:color="FF0000"/>
        </w:rPr>
        <w:t xml:space="preserve">.357 magnum </w:t>
      </w:r>
      <w:r w:rsidRPr="0052255D" w:rsidR="007924AF">
        <w:rPr>
          <w:rFonts w:ascii="Century Schoolbook" w:hAnsi="Century Schoolbook"/>
          <w:color w:val="auto"/>
          <w:sz w:val="27"/>
          <w:u w:color="FF0000"/>
        </w:rPr>
        <w:t xml:space="preserve">handgun, </w:t>
      </w:r>
      <w:r w:rsidRPr="0052255D" w:rsidR="0012451A">
        <w:rPr>
          <w:rFonts w:ascii="Century Schoolbook" w:hAnsi="Century Schoolbook"/>
          <w:color w:val="auto"/>
          <w:sz w:val="27"/>
          <w:u w:color="FF0000"/>
        </w:rPr>
        <w:t xml:space="preserve">which </w:t>
      </w:r>
      <w:r w:rsidRPr="0052255D" w:rsidR="007924AF">
        <w:rPr>
          <w:rFonts w:ascii="Century Schoolbook" w:hAnsi="Century Schoolbook"/>
          <w:color w:val="auto"/>
          <w:sz w:val="27"/>
          <w:u w:color="FF0000"/>
        </w:rPr>
        <w:t>Carrillo had previously seen defendant carry</w:t>
      </w:r>
      <w:r w:rsidR="00EF52BE">
        <w:rPr>
          <w:rFonts w:ascii="Century Schoolbook" w:hAnsi="Century Schoolbook"/>
          <w:color w:val="auto"/>
          <w:sz w:val="27"/>
          <w:u w:color="FF0000"/>
        </w:rPr>
        <w:t xml:space="preserve"> on numerous occasions</w:t>
      </w:r>
      <w:r w:rsidRPr="0052255D" w:rsidR="007924AF">
        <w:rPr>
          <w:rFonts w:ascii="Century Schoolbook" w:hAnsi="Century Schoolbook"/>
          <w:color w:val="auto"/>
          <w:sz w:val="27"/>
          <w:u w:color="FF0000"/>
        </w:rPr>
        <w:t xml:space="preserve">.  </w:t>
      </w:r>
    </w:p>
    <w:p w:rsidR="00394A2F"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Lee drove defendant, Chung, and Carrillo in Chung’s Jeep </w:t>
      </w:r>
      <w:r w:rsidRPr="0052255D" w:rsidR="00640FBC">
        <w:rPr>
          <w:rFonts w:ascii="Century Schoolbook" w:hAnsi="Century Schoolbook"/>
          <w:color w:val="auto"/>
          <w:sz w:val="27"/>
          <w:u w:color="FF0000"/>
        </w:rPr>
        <w:t xml:space="preserve">Cherokee </w:t>
      </w:r>
      <w:r w:rsidRPr="0052255D">
        <w:rPr>
          <w:rFonts w:ascii="Century Schoolbook" w:hAnsi="Century Schoolbook"/>
          <w:color w:val="auto"/>
          <w:sz w:val="27"/>
          <w:u w:color="FF0000"/>
        </w:rPr>
        <w:t xml:space="preserve">to </w:t>
      </w:r>
      <w:r w:rsidRPr="0052255D" w:rsidR="00C67B40">
        <w:rPr>
          <w:rFonts w:ascii="Century Schoolbook" w:hAnsi="Century Schoolbook"/>
          <w:color w:val="auto"/>
          <w:sz w:val="27"/>
          <w:u w:color="FF0000"/>
        </w:rPr>
        <w:t xml:space="preserve">the home of </w:t>
      </w:r>
      <w:r w:rsidRPr="0052255D">
        <w:rPr>
          <w:rFonts w:ascii="Century Schoolbook" w:hAnsi="Century Schoolbook"/>
          <w:color w:val="auto"/>
          <w:sz w:val="27"/>
          <w:u w:color="FF0000"/>
        </w:rPr>
        <w:t>Allan Quiambao</w:t>
      </w:r>
      <w:r w:rsidRPr="0052255D" w:rsidR="00C67B40">
        <w:rPr>
          <w:rFonts w:ascii="Century Schoolbook" w:hAnsi="Century Schoolbook"/>
          <w:color w:val="auto"/>
          <w:sz w:val="27"/>
          <w:u w:color="FF0000"/>
        </w:rPr>
        <w:t>, another Pinoy Real gang member</w:t>
      </w:r>
      <w:r w:rsidRPr="0052255D">
        <w:rPr>
          <w:rFonts w:ascii="Century Schoolbook" w:hAnsi="Century Schoolbook"/>
          <w:color w:val="auto"/>
          <w:sz w:val="27"/>
          <w:u w:color="FF0000"/>
        </w:rPr>
        <w:t xml:space="preserve">.  </w:t>
      </w:r>
      <w:r w:rsidRPr="0052255D" w:rsidR="00236556">
        <w:rPr>
          <w:rFonts w:ascii="Century Schoolbook" w:hAnsi="Century Schoolbook"/>
          <w:color w:val="auto"/>
          <w:sz w:val="27"/>
          <w:u w:color="FF0000"/>
        </w:rPr>
        <w:t xml:space="preserve">During the </w:t>
      </w:r>
      <w:r w:rsidRPr="0052255D" w:rsidR="003C7269">
        <w:rPr>
          <w:rFonts w:ascii="Century Schoolbook" w:hAnsi="Century Schoolbook"/>
          <w:color w:val="auto"/>
          <w:sz w:val="27"/>
          <w:u w:color="FF0000"/>
        </w:rPr>
        <w:t>drive</w:t>
      </w:r>
      <w:r w:rsidRPr="0052255D" w:rsidR="00236556">
        <w:rPr>
          <w:rFonts w:ascii="Century Schoolbook" w:hAnsi="Century Schoolbook"/>
          <w:color w:val="auto"/>
          <w:sz w:val="27"/>
          <w:u w:color="FF0000"/>
        </w:rPr>
        <w:t>, defendant repeated</w:t>
      </w:r>
      <w:r w:rsidRPr="0052255D" w:rsidR="00AD7D66">
        <w:rPr>
          <w:rFonts w:ascii="Century Schoolbook" w:hAnsi="Century Schoolbook"/>
          <w:color w:val="auto"/>
          <w:sz w:val="27"/>
          <w:u w:color="FF0000"/>
        </w:rPr>
        <w:t xml:space="preserve"> that he </w:t>
      </w:r>
      <w:r w:rsidRPr="0052255D" w:rsidR="00B26A02">
        <w:rPr>
          <w:rFonts w:ascii="Century Schoolbook" w:hAnsi="Century Schoolbook"/>
          <w:color w:val="auto"/>
          <w:sz w:val="27"/>
          <w:u w:color="FF0000"/>
        </w:rPr>
        <w:t xml:space="preserve">would </w:t>
      </w:r>
      <w:r w:rsidRPr="0052255D" w:rsidR="00AD7D66">
        <w:rPr>
          <w:rFonts w:ascii="Century Schoolbook" w:hAnsi="Century Schoolbook"/>
          <w:color w:val="auto"/>
          <w:sz w:val="27"/>
          <w:u w:color="FF0000"/>
        </w:rPr>
        <w:t xml:space="preserve">kill Johnson and Masubayashi.  </w:t>
      </w:r>
      <w:r w:rsidRPr="0052255D" w:rsidR="00DC17BB">
        <w:rPr>
          <w:rFonts w:ascii="Century Schoolbook" w:hAnsi="Century Schoolbook"/>
          <w:color w:val="auto"/>
          <w:sz w:val="27"/>
          <w:u w:color="FF0000"/>
        </w:rPr>
        <w:t>T</w:t>
      </w:r>
      <w:r w:rsidRPr="0052255D">
        <w:rPr>
          <w:rFonts w:ascii="Century Schoolbook" w:hAnsi="Century Schoolbook"/>
          <w:color w:val="auto"/>
          <w:sz w:val="27"/>
          <w:u w:color="FF0000"/>
        </w:rPr>
        <w:t xml:space="preserve">he group </w:t>
      </w:r>
      <w:r w:rsidRPr="0052255D" w:rsidR="00DC17BB">
        <w:rPr>
          <w:rFonts w:ascii="Century Schoolbook" w:hAnsi="Century Schoolbook"/>
          <w:color w:val="auto"/>
          <w:sz w:val="27"/>
          <w:u w:color="FF0000"/>
        </w:rPr>
        <w:t>met Quiambao outside and told him</w:t>
      </w:r>
      <w:r w:rsidRPr="0052255D">
        <w:rPr>
          <w:rFonts w:ascii="Century Schoolbook" w:hAnsi="Century Schoolbook"/>
          <w:color w:val="auto"/>
          <w:sz w:val="27"/>
          <w:u w:color="FF0000"/>
        </w:rPr>
        <w:t xml:space="preserve"> that they were headed to Anaheim </w:t>
      </w:r>
      <w:r w:rsidRPr="0052255D" w:rsidR="009C30A7">
        <w:rPr>
          <w:rFonts w:ascii="Century Schoolbook" w:hAnsi="Century Schoolbook"/>
          <w:color w:val="auto"/>
          <w:sz w:val="27"/>
          <w:u w:color="FF0000"/>
        </w:rPr>
        <w:t xml:space="preserve">to </w:t>
      </w:r>
      <w:r w:rsidRPr="0052255D" w:rsidR="00DD72E1">
        <w:rPr>
          <w:rFonts w:ascii="Century Schoolbook" w:hAnsi="Century Schoolbook"/>
          <w:color w:val="auto"/>
          <w:sz w:val="27"/>
          <w:u w:color="FF0000"/>
        </w:rPr>
        <w:t>“</w:t>
      </w:r>
      <w:r w:rsidRPr="0052255D" w:rsidR="009C30A7">
        <w:rPr>
          <w:rFonts w:ascii="Century Schoolbook" w:hAnsi="Century Schoolbook"/>
          <w:color w:val="auto"/>
          <w:sz w:val="27"/>
          <w:u w:color="FF0000"/>
        </w:rPr>
        <w:t>do”</w:t>
      </w:r>
      <w:r w:rsidRPr="0052255D" w:rsidR="00447312">
        <w:rPr>
          <w:rFonts w:ascii="Century Schoolbook" w:hAnsi="Century Schoolbook"/>
          <w:color w:val="auto"/>
          <w:sz w:val="27"/>
          <w:u w:color="FF0000"/>
        </w:rPr>
        <w:t xml:space="preserve"> Johnson and Masubayash</w:t>
      </w:r>
      <w:r w:rsidRPr="0052255D" w:rsidR="009C30A7">
        <w:rPr>
          <w:rFonts w:ascii="Century Schoolbook" w:hAnsi="Century Schoolbook"/>
          <w:color w:val="auto"/>
          <w:sz w:val="27"/>
          <w:u w:color="FF0000"/>
        </w:rPr>
        <w:t>i</w:t>
      </w:r>
      <w:r w:rsidRPr="0052255D" w:rsidR="00AE5110">
        <w:rPr>
          <w:rFonts w:ascii="Century Schoolbook" w:hAnsi="Century Schoolbook"/>
          <w:color w:val="auto"/>
          <w:sz w:val="27"/>
          <w:u w:color="FF0000"/>
        </w:rPr>
        <w:t xml:space="preserve">. </w:t>
      </w:r>
      <w:r w:rsidRPr="0052255D" w:rsidR="00E35857">
        <w:rPr>
          <w:rFonts w:ascii="Century Schoolbook" w:hAnsi="Century Schoolbook"/>
          <w:color w:val="auto"/>
          <w:sz w:val="27"/>
          <w:u w:color="FF0000"/>
        </w:rPr>
        <w:t xml:space="preserve"> Quiambao understood </w:t>
      </w:r>
      <w:r w:rsidRPr="0052255D" w:rsidR="00AE5110">
        <w:rPr>
          <w:rFonts w:ascii="Century Schoolbook" w:hAnsi="Century Schoolbook"/>
          <w:color w:val="auto"/>
          <w:sz w:val="27"/>
          <w:u w:color="FF0000"/>
        </w:rPr>
        <w:t xml:space="preserve">this </w:t>
      </w:r>
      <w:r w:rsidRPr="0052255D" w:rsidR="00E35857">
        <w:rPr>
          <w:rFonts w:ascii="Century Schoolbook" w:hAnsi="Century Schoolbook"/>
          <w:color w:val="auto"/>
          <w:sz w:val="27"/>
          <w:u w:color="FF0000"/>
        </w:rPr>
        <w:t>to mean the group would</w:t>
      </w:r>
      <w:r w:rsidRPr="0052255D" w:rsidR="00755D04">
        <w:rPr>
          <w:rFonts w:ascii="Century Schoolbook" w:hAnsi="Century Schoolbook"/>
          <w:color w:val="auto"/>
          <w:sz w:val="27"/>
          <w:u w:color="FF0000"/>
        </w:rPr>
        <w:t xml:space="preserve"> kill them</w:t>
      </w:r>
      <w:r w:rsidRPr="0052255D" w:rsidR="00B75563">
        <w:rPr>
          <w:rFonts w:ascii="Century Schoolbook" w:hAnsi="Century Schoolbook"/>
          <w:color w:val="auto"/>
          <w:sz w:val="27"/>
          <w:u w:color="FF0000"/>
        </w:rPr>
        <w:t>.</w:t>
      </w:r>
      <w:r w:rsidRPr="0052255D">
        <w:rPr>
          <w:rFonts w:ascii="Century Schoolbook" w:hAnsi="Century Schoolbook"/>
          <w:color w:val="auto"/>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 xml:space="preserve">The group </w:t>
      </w:r>
      <w:r w:rsidRPr="0052255D" w:rsidR="00D43A70">
        <w:rPr>
          <w:rFonts w:ascii="Century Schoolbook" w:hAnsi="Century Schoolbook"/>
          <w:color w:val="auto"/>
          <w:sz w:val="27"/>
          <w:u w:color="FF0000"/>
        </w:rPr>
        <w:t xml:space="preserve">returned to the Jeep and </w:t>
      </w:r>
      <w:r w:rsidRPr="0052255D" w:rsidR="0009795B">
        <w:rPr>
          <w:rFonts w:ascii="Century Schoolbook" w:hAnsi="Century Schoolbook"/>
          <w:color w:val="auto"/>
          <w:sz w:val="27"/>
          <w:u w:color="FF0000"/>
        </w:rPr>
        <w:t>continued</w:t>
      </w:r>
      <w:r w:rsidRPr="0052255D">
        <w:rPr>
          <w:rFonts w:ascii="Century Schoolbook" w:hAnsi="Century Schoolbook"/>
          <w:color w:val="auto"/>
          <w:sz w:val="27"/>
          <w:u w:color="FF0000"/>
        </w:rPr>
        <w:t xml:space="preserve"> </w:t>
      </w:r>
      <w:r w:rsidRPr="0052255D" w:rsidR="00D43A70">
        <w:rPr>
          <w:rFonts w:ascii="Century Schoolbook" w:hAnsi="Century Schoolbook"/>
          <w:color w:val="auto"/>
          <w:sz w:val="27"/>
          <w:u w:color="FF0000"/>
        </w:rPr>
        <w:t xml:space="preserve">driving </w:t>
      </w:r>
      <w:r w:rsidRPr="0052255D">
        <w:rPr>
          <w:rFonts w:ascii="Century Schoolbook" w:hAnsi="Century Schoolbook"/>
          <w:color w:val="auto"/>
          <w:sz w:val="27"/>
          <w:u w:color="FF0000"/>
        </w:rPr>
        <w:t xml:space="preserve">toward Anaheim.  </w:t>
      </w:r>
      <w:r w:rsidRPr="0052255D" w:rsidR="00FF1B42">
        <w:rPr>
          <w:rFonts w:ascii="Century Schoolbook" w:hAnsi="Century Schoolbook"/>
          <w:color w:val="auto"/>
          <w:sz w:val="27"/>
          <w:u w:color="FF0000"/>
        </w:rPr>
        <w:t xml:space="preserve">A police officer </w:t>
      </w:r>
      <w:r w:rsidRPr="0052255D" w:rsidR="00161216">
        <w:rPr>
          <w:rFonts w:ascii="Century Schoolbook" w:hAnsi="Century Schoolbook"/>
          <w:color w:val="auto"/>
          <w:sz w:val="27"/>
          <w:u w:color="FF0000"/>
        </w:rPr>
        <w:t xml:space="preserve">stopped the Jeep after Carrillo threw a cigarette butt out the window.  </w:t>
      </w:r>
      <w:r w:rsidRPr="0052255D" w:rsidR="008D4661">
        <w:rPr>
          <w:rFonts w:ascii="Century Schoolbook" w:hAnsi="Century Schoolbook"/>
          <w:color w:val="auto"/>
          <w:sz w:val="27"/>
          <w:u w:color="FF0000"/>
        </w:rPr>
        <w:t xml:space="preserve">Carrillo saw defendant </w:t>
      </w:r>
      <w:r w:rsidRPr="0052255D" w:rsidR="007F3933">
        <w:rPr>
          <w:rFonts w:ascii="Century Schoolbook" w:hAnsi="Century Schoolbook"/>
          <w:color w:val="auto"/>
          <w:sz w:val="27"/>
          <w:u w:color="FF0000"/>
        </w:rPr>
        <w:t xml:space="preserve">hide </w:t>
      </w:r>
      <w:r w:rsidRPr="0052255D" w:rsidR="00146B87">
        <w:rPr>
          <w:rFonts w:ascii="Century Schoolbook" w:hAnsi="Century Schoolbook"/>
          <w:color w:val="auto"/>
          <w:sz w:val="27"/>
          <w:u w:color="FF0000"/>
        </w:rPr>
        <w:t>his</w:t>
      </w:r>
      <w:r w:rsidRPr="0052255D" w:rsidR="008D4661">
        <w:rPr>
          <w:rFonts w:ascii="Century Schoolbook" w:hAnsi="Century Schoolbook"/>
          <w:color w:val="auto"/>
          <w:sz w:val="27"/>
          <w:u w:color="FF0000"/>
        </w:rPr>
        <w:t xml:space="preserve"> gun </w:t>
      </w:r>
      <w:r w:rsidRPr="0052255D" w:rsidR="007F3933">
        <w:rPr>
          <w:rFonts w:ascii="Century Schoolbook" w:hAnsi="Century Schoolbook"/>
          <w:color w:val="auto"/>
          <w:sz w:val="27"/>
          <w:u w:color="FF0000"/>
        </w:rPr>
        <w:t>inside the crack of the seats</w:t>
      </w:r>
      <w:r w:rsidRPr="0052255D" w:rsidR="0081710D">
        <w:rPr>
          <w:rFonts w:ascii="Century Schoolbook" w:hAnsi="Century Schoolbook"/>
          <w:color w:val="auto"/>
          <w:sz w:val="27"/>
          <w:u w:color="FF0000"/>
        </w:rPr>
        <w:t xml:space="preserve"> </w:t>
      </w:r>
      <w:r w:rsidRPr="0052255D" w:rsidR="00A7110F">
        <w:rPr>
          <w:rFonts w:ascii="Century Schoolbook" w:hAnsi="Century Schoolbook"/>
          <w:color w:val="auto"/>
          <w:sz w:val="27"/>
          <w:u w:color="FF0000"/>
        </w:rPr>
        <w:t xml:space="preserve">prior to the stop </w:t>
      </w:r>
      <w:r w:rsidRPr="0052255D" w:rsidR="0081710D">
        <w:rPr>
          <w:rFonts w:ascii="Century Schoolbook" w:hAnsi="Century Schoolbook"/>
          <w:color w:val="auto"/>
          <w:sz w:val="27"/>
          <w:u w:color="FF0000"/>
        </w:rPr>
        <w:t xml:space="preserve">and then tuck it </w:t>
      </w:r>
      <w:r w:rsidRPr="0052255D" w:rsidR="008D4661">
        <w:rPr>
          <w:rFonts w:ascii="Century Schoolbook" w:hAnsi="Century Schoolbook"/>
          <w:color w:val="auto"/>
          <w:sz w:val="27"/>
          <w:u w:color="FF0000"/>
        </w:rPr>
        <w:t>in his waist</w:t>
      </w:r>
      <w:r w:rsidRPr="0052255D" w:rsidR="00355083">
        <w:rPr>
          <w:rFonts w:ascii="Century Schoolbook" w:hAnsi="Century Schoolbook"/>
          <w:color w:val="auto"/>
          <w:sz w:val="27"/>
          <w:u w:color="FF0000"/>
        </w:rPr>
        <w:t>b</w:t>
      </w:r>
      <w:r w:rsidRPr="0052255D" w:rsidR="008D4661">
        <w:rPr>
          <w:rFonts w:ascii="Century Schoolbook" w:hAnsi="Century Schoolbook"/>
          <w:color w:val="auto"/>
          <w:sz w:val="27"/>
          <w:u w:color="FF0000"/>
        </w:rPr>
        <w:t>and</w:t>
      </w:r>
      <w:r w:rsidRPr="0052255D" w:rsidR="0081710D">
        <w:rPr>
          <w:rFonts w:ascii="Century Schoolbook" w:hAnsi="Century Schoolbook"/>
          <w:color w:val="auto"/>
          <w:sz w:val="27"/>
          <w:u w:color="FF0000"/>
        </w:rPr>
        <w:t xml:space="preserve"> after the </w:t>
      </w:r>
      <w:r w:rsidRPr="0052255D" w:rsidR="00E70626">
        <w:rPr>
          <w:rFonts w:ascii="Century Schoolbook" w:hAnsi="Century Schoolbook"/>
          <w:color w:val="auto"/>
          <w:sz w:val="27"/>
          <w:u w:color="FF0000"/>
        </w:rPr>
        <w:t>police officer left</w:t>
      </w:r>
      <w:r w:rsidRPr="0052255D">
        <w:rPr>
          <w:rFonts w:ascii="Century Schoolbook" w:hAnsi="Century Schoolbook"/>
          <w:color w:val="auto"/>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Lee parked the Jeep in a </w:t>
      </w:r>
      <w:r w:rsidRPr="0052255D" w:rsidR="00052427">
        <w:rPr>
          <w:rFonts w:ascii="Century Schoolbook" w:hAnsi="Century Schoolbook"/>
          <w:color w:val="auto"/>
          <w:sz w:val="27"/>
          <w:u w:color="FF0000"/>
        </w:rPr>
        <w:t xml:space="preserve">parking </w:t>
      </w:r>
      <w:r w:rsidRPr="0052255D">
        <w:rPr>
          <w:rFonts w:ascii="Century Schoolbook" w:hAnsi="Century Schoolbook"/>
          <w:color w:val="auto"/>
          <w:sz w:val="27"/>
          <w:u w:color="FF0000"/>
        </w:rPr>
        <w:t xml:space="preserve">lot near Suzuki’s apartment complex.  The group agreed that </w:t>
      </w:r>
      <w:r w:rsidRPr="0052255D" w:rsidR="003D6049">
        <w:rPr>
          <w:rFonts w:ascii="Century Schoolbook" w:hAnsi="Century Schoolbook"/>
          <w:color w:val="auto"/>
          <w:sz w:val="27"/>
          <w:u w:color="FF0000"/>
        </w:rPr>
        <w:t xml:space="preserve">only </w:t>
      </w:r>
      <w:r w:rsidRPr="0052255D">
        <w:rPr>
          <w:rFonts w:ascii="Century Schoolbook" w:hAnsi="Century Schoolbook"/>
          <w:color w:val="auto"/>
          <w:sz w:val="27"/>
          <w:u w:color="FF0000"/>
        </w:rPr>
        <w:t xml:space="preserve">defendant and Carrillo would go to the apartment because </w:t>
      </w:r>
      <w:r w:rsidRPr="0052255D" w:rsidR="003D6049">
        <w:rPr>
          <w:rFonts w:ascii="Century Schoolbook" w:hAnsi="Century Schoolbook"/>
          <w:color w:val="auto"/>
          <w:sz w:val="27"/>
          <w:u w:color="FF0000"/>
        </w:rPr>
        <w:t>there was no animosity between them</w:t>
      </w:r>
      <w:r w:rsidRPr="0052255D">
        <w:rPr>
          <w:rFonts w:ascii="Century Schoolbook" w:hAnsi="Century Schoolbook"/>
          <w:color w:val="auto"/>
          <w:sz w:val="27"/>
          <w:u w:color="FF0000"/>
        </w:rPr>
        <w:t xml:space="preserve"> </w:t>
      </w:r>
      <w:r w:rsidRPr="0052255D" w:rsidR="003D6049">
        <w:rPr>
          <w:rFonts w:ascii="Century Schoolbook" w:hAnsi="Century Schoolbook"/>
          <w:color w:val="auto"/>
          <w:sz w:val="27"/>
          <w:u w:color="FF0000"/>
        </w:rPr>
        <w:t xml:space="preserve">and </w:t>
      </w:r>
      <w:r w:rsidRPr="0052255D">
        <w:rPr>
          <w:rFonts w:ascii="Century Schoolbook" w:hAnsi="Century Schoolbook"/>
          <w:color w:val="auto"/>
          <w:sz w:val="27"/>
          <w:u w:color="FF0000"/>
        </w:rPr>
        <w:t>Masubayashi and Johnson</w:t>
      </w:r>
      <w:r w:rsidRPr="0052255D" w:rsidR="001C517E">
        <w:rPr>
          <w:rFonts w:ascii="Century Schoolbook" w:hAnsi="Century Schoolbook"/>
          <w:color w:val="auto"/>
          <w:sz w:val="27"/>
          <w:u w:color="FF0000"/>
        </w:rPr>
        <w:t>.</w:t>
      </w:r>
      <w:r w:rsidRPr="0052255D" w:rsidR="001C517E">
        <w:rPr>
          <w:rFonts w:ascii="Century Schoolbook" w:hAnsi="Century Schoolbook"/>
          <w:color w:val="000000" w:themeColor="text1"/>
          <w:sz w:val="27"/>
          <w:u w:color="FF0000"/>
        </w:rPr>
        <w:t xml:space="preserve">  </w:t>
      </w:r>
      <w:r w:rsidRPr="0052255D" w:rsidR="00660AE9">
        <w:rPr>
          <w:rFonts w:ascii="Century Schoolbook" w:hAnsi="Century Schoolbook"/>
          <w:color w:val="auto"/>
          <w:sz w:val="27"/>
          <w:u w:color="FF0000"/>
        </w:rPr>
        <w:t xml:space="preserve">Lee and Chung </w:t>
      </w:r>
      <w:r w:rsidRPr="0052255D" w:rsidR="001E2354">
        <w:rPr>
          <w:rFonts w:ascii="Century Schoolbook" w:hAnsi="Century Schoolbook"/>
          <w:color w:val="auto"/>
          <w:sz w:val="27"/>
          <w:u w:color="FF0000"/>
        </w:rPr>
        <w:t xml:space="preserve">would </w:t>
      </w:r>
      <w:r w:rsidRPr="0052255D" w:rsidR="00660AE9">
        <w:rPr>
          <w:rFonts w:ascii="Century Schoolbook" w:hAnsi="Century Schoolbook"/>
          <w:color w:val="auto"/>
          <w:sz w:val="27"/>
          <w:u w:color="FF0000"/>
        </w:rPr>
        <w:t>wait in the Jeep</w:t>
      </w:r>
      <w:r w:rsidRPr="0052255D" w:rsidR="00A050B0">
        <w:rPr>
          <w:rFonts w:ascii="Century Schoolbook" w:hAnsi="Century Schoolbook"/>
          <w:color w:val="auto"/>
          <w:sz w:val="27"/>
          <w:u w:color="FF0000"/>
        </w:rPr>
        <w:t xml:space="preserve">.  </w:t>
      </w:r>
      <w:r w:rsidRPr="0052255D" w:rsidR="00FE29F4">
        <w:rPr>
          <w:rFonts w:ascii="Century Schoolbook" w:hAnsi="Century Schoolbook"/>
          <w:color w:val="auto"/>
          <w:sz w:val="27"/>
          <w:u w:color="FF0000"/>
        </w:rPr>
        <w:t>As they were walkin</w:t>
      </w:r>
      <w:r w:rsidRPr="0052255D" w:rsidR="00F5497B">
        <w:rPr>
          <w:rFonts w:ascii="Century Schoolbook" w:hAnsi="Century Schoolbook"/>
          <w:color w:val="auto"/>
          <w:sz w:val="27"/>
          <w:u w:color="FF0000"/>
        </w:rPr>
        <w:t>g to the apartment, d</w:t>
      </w:r>
      <w:r w:rsidRPr="0052255D" w:rsidR="00FE29F4">
        <w:rPr>
          <w:rFonts w:ascii="Century Schoolbook" w:hAnsi="Century Schoolbook"/>
          <w:color w:val="auto"/>
          <w:sz w:val="27"/>
          <w:u w:color="FF0000"/>
        </w:rPr>
        <w:t xml:space="preserve">efendant </w:t>
      </w:r>
      <w:r w:rsidRPr="0052255D" w:rsidR="00F5497B">
        <w:rPr>
          <w:rFonts w:ascii="Century Schoolbook" w:hAnsi="Century Schoolbook"/>
          <w:color w:val="auto"/>
          <w:sz w:val="27"/>
          <w:u w:color="FF0000"/>
        </w:rPr>
        <w:t>told</w:t>
      </w:r>
      <w:r w:rsidRPr="0052255D" w:rsidR="00794CAC">
        <w:rPr>
          <w:rFonts w:ascii="Century Schoolbook" w:hAnsi="Century Schoolbook"/>
          <w:color w:val="auto"/>
          <w:sz w:val="27"/>
          <w:u w:color="FF0000"/>
        </w:rPr>
        <w:t xml:space="preserve"> </w:t>
      </w:r>
      <w:r w:rsidRPr="0052255D" w:rsidR="00932A81">
        <w:rPr>
          <w:rFonts w:ascii="Century Schoolbook" w:hAnsi="Century Schoolbook"/>
          <w:color w:val="auto"/>
          <w:sz w:val="27"/>
          <w:u w:color="FF0000"/>
        </w:rPr>
        <w:t xml:space="preserve">Carrillo that he was going to </w:t>
      </w:r>
      <w:r w:rsidRPr="0052255D" w:rsidR="007C69AC">
        <w:rPr>
          <w:rFonts w:ascii="Century Schoolbook" w:hAnsi="Century Schoolbook"/>
          <w:color w:val="auto"/>
          <w:sz w:val="27"/>
          <w:u w:color="FF0000"/>
        </w:rPr>
        <w:t>“</w:t>
      </w:r>
      <w:r w:rsidRPr="0052255D" w:rsidR="00932A81">
        <w:rPr>
          <w:rFonts w:ascii="Century Schoolbook" w:hAnsi="Century Schoolbook"/>
          <w:color w:val="auto"/>
          <w:sz w:val="27"/>
          <w:u w:color="FF0000"/>
        </w:rPr>
        <w:t>do</w:t>
      </w:r>
      <w:r w:rsidRPr="0052255D" w:rsidR="001E5D43">
        <w:rPr>
          <w:rFonts w:ascii="Century Schoolbook" w:hAnsi="Century Schoolbook"/>
          <w:color w:val="auto"/>
          <w:sz w:val="27"/>
          <w:u w:color="FF0000"/>
        </w:rPr>
        <w:t>,</w:t>
      </w:r>
      <w:r w:rsidRPr="0052255D" w:rsidR="007C69AC">
        <w:rPr>
          <w:rFonts w:ascii="Century Schoolbook" w:hAnsi="Century Schoolbook"/>
          <w:color w:val="auto"/>
          <w:sz w:val="27"/>
          <w:u w:color="FF0000"/>
        </w:rPr>
        <w:t>”</w:t>
      </w:r>
      <w:r w:rsidRPr="0052255D" w:rsidR="00932A81">
        <w:rPr>
          <w:rFonts w:ascii="Century Schoolbook" w:hAnsi="Century Schoolbook"/>
          <w:color w:val="auto"/>
          <w:sz w:val="27"/>
          <w:u w:color="FF0000"/>
        </w:rPr>
        <w:t xml:space="preserve"> </w:t>
      </w:r>
      <w:r w:rsidRPr="0052255D" w:rsidR="001E5D43">
        <w:rPr>
          <w:rFonts w:ascii="Century Schoolbook" w:hAnsi="Century Schoolbook"/>
          <w:color w:val="auto"/>
          <w:sz w:val="27"/>
          <w:u w:color="FF0000"/>
        </w:rPr>
        <w:t xml:space="preserve">meaning kill, </w:t>
      </w:r>
      <w:r w:rsidRPr="0052255D" w:rsidR="00932A81">
        <w:rPr>
          <w:rFonts w:ascii="Century Schoolbook" w:hAnsi="Century Schoolbook"/>
          <w:color w:val="auto"/>
          <w:sz w:val="27"/>
          <w:u w:color="FF0000"/>
        </w:rPr>
        <w:t xml:space="preserve">everyone in the apartment.  </w:t>
      </w:r>
      <w:r w:rsidRPr="0052255D" w:rsidR="007C69AC">
        <w:rPr>
          <w:rFonts w:ascii="Century Schoolbook" w:hAnsi="Century Schoolbook"/>
          <w:color w:val="auto"/>
          <w:sz w:val="27"/>
          <w:u w:color="FF0000"/>
        </w:rPr>
        <w:t xml:space="preserve">Defendant </w:t>
      </w:r>
      <w:r w:rsidRPr="0052255D" w:rsidR="00DD72E1">
        <w:rPr>
          <w:rFonts w:ascii="Century Schoolbook" w:hAnsi="Century Schoolbook"/>
          <w:color w:val="auto"/>
          <w:sz w:val="27"/>
          <w:u w:color="FF0000"/>
        </w:rPr>
        <w:t>telephoned</w:t>
      </w:r>
      <w:r w:rsidRPr="0052255D" w:rsidR="007C69AC">
        <w:rPr>
          <w:rFonts w:ascii="Century Schoolbook" w:hAnsi="Century Schoolbook"/>
          <w:color w:val="auto"/>
          <w:sz w:val="27"/>
          <w:u w:color="FF0000"/>
        </w:rPr>
        <w:t xml:space="preserve"> Johnson, who had been grocery shopping with his girlfriend, Sia Her</w:t>
      </w:r>
      <w:r w:rsidRPr="0052255D" w:rsidR="00DD72E1">
        <w:rPr>
          <w:rFonts w:ascii="Century Schoolbook" w:hAnsi="Century Schoolbook"/>
          <w:color w:val="auto"/>
          <w:sz w:val="27"/>
          <w:u w:color="FF0000"/>
        </w:rPr>
        <w:t>.  Johnson and Her</w:t>
      </w:r>
      <w:r w:rsidRPr="0052255D" w:rsidR="007C69AC">
        <w:rPr>
          <w:rFonts w:ascii="Century Schoolbook" w:hAnsi="Century Schoolbook"/>
          <w:color w:val="auto"/>
          <w:sz w:val="27"/>
          <w:u w:color="FF0000"/>
        </w:rPr>
        <w:t xml:space="preserve"> met defendant and Carrillo</w:t>
      </w:r>
      <w:r w:rsidRPr="0052255D" w:rsidR="00DD72E1">
        <w:rPr>
          <w:rFonts w:ascii="Century Schoolbook" w:hAnsi="Century Schoolbook"/>
          <w:color w:val="auto"/>
          <w:sz w:val="27"/>
          <w:u w:color="FF0000"/>
        </w:rPr>
        <w:t xml:space="preserve"> outside</w:t>
      </w:r>
      <w:r w:rsidRPr="0052255D" w:rsidR="003034DA">
        <w:rPr>
          <w:rFonts w:ascii="Century Schoolbook" w:hAnsi="Century Schoolbook"/>
          <w:color w:val="auto"/>
          <w:sz w:val="27"/>
          <w:u w:color="FF0000"/>
        </w:rPr>
        <w:t xml:space="preserve"> the apartment complex</w:t>
      </w:r>
      <w:r w:rsidRPr="0052255D" w:rsidR="007C69AC">
        <w:rPr>
          <w:rFonts w:ascii="Century Schoolbook" w:hAnsi="Century Schoolbook"/>
          <w:color w:val="auto"/>
          <w:sz w:val="27"/>
          <w:u w:color="FF0000"/>
        </w:rPr>
        <w:t>.  T</w:t>
      </w:r>
      <w:r w:rsidRPr="0052255D">
        <w:rPr>
          <w:rFonts w:ascii="Century Schoolbook" w:hAnsi="Century Schoolbook"/>
          <w:color w:val="auto"/>
          <w:sz w:val="27"/>
          <w:u w:color="FF0000"/>
        </w:rPr>
        <w:t>he four continued to Suzuki’s apartment</w:t>
      </w:r>
      <w:r w:rsidRPr="0052255D" w:rsidR="00691430">
        <w:rPr>
          <w:rFonts w:ascii="Century Schoolbook" w:hAnsi="Century Schoolbook"/>
          <w:color w:val="auto"/>
          <w:sz w:val="27"/>
          <w:u w:color="FF0000"/>
        </w:rPr>
        <w:t>, where Masubayashi and his girlfriend, Alexis Huliganga, were asleep inside</w:t>
      </w:r>
      <w:r w:rsidRPr="0052255D">
        <w:rPr>
          <w:rFonts w:ascii="Century Schoolbook" w:hAnsi="Century Schoolbook"/>
          <w:color w:val="auto"/>
          <w:sz w:val="27"/>
          <w:u w:color="FF0000"/>
        </w:rPr>
        <w:t xml:space="preserve">.  </w:t>
      </w:r>
      <w:r w:rsidRPr="0052255D" w:rsidR="00AC39CA">
        <w:rPr>
          <w:rFonts w:ascii="Century Schoolbook" w:hAnsi="Century Schoolbook"/>
          <w:color w:val="auto"/>
          <w:sz w:val="27"/>
          <w:u w:color="FF0000"/>
        </w:rPr>
        <w:t xml:space="preserve">Masubayashi </w:t>
      </w:r>
      <w:r w:rsidR="00004DDE">
        <w:rPr>
          <w:rFonts w:ascii="Century Schoolbook" w:hAnsi="Century Schoolbook"/>
          <w:color w:val="auto"/>
          <w:sz w:val="27"/>
          <w:u w:color="FF0000"/>
        </w:rPr>
        <w:t>a</w:t>
      </w:r>
      <w:r w:rsidRPr="0052255D" w:rsidR="00AC39CA">
        <w:rPr>
          <w:rFonts w:ascii="Century Schoolbook" w:hAnsi="Century Schoolbook"/>
          <w:color w:val="auto"/>
          <w:sz w:val="27"/>
          <w:u w:color="FF0000"/>
        </w:rPr>
        <w:t>woke and t</w:t>
      </w:r>
      <w:r w:rsidRPr="0052255D">
        <w:rPr>
          <w:rFonts w:ascii="Century Schoolbook" w:hAnsi="Century Schoolbook"/>
          <w:color w:val="auto"/>
          <w:sz w:val="27"/>
          <w:u w:color="FF0000"/>
        </w:rPr>
        <w:t xml:space="preserve">he men </w:t>
      </w:r>
      <w:r w:rsidRPr="0052255D" w:rsidR="0044121C">
        <w:rPr>
          <w:rFonts w:ascii="Century Schoolbook" w:hAnsi="Century Schoolbook"/>
          <w:color w:val="auto"/>
          <w:sz w:val="27"/>
          <w:u w:color="FF0000"/>
        </w:rPr>
        <w:t>decided</w:t>
      </w:r>
      <w:r w:rsidRPr="0052255D">
        <w:rPr>
          <w:rFonts w:ascii="Century Schoolbook" w:hAnsi="Century Schoolbook"/>
          <w:color w:val="auto"/>
          <w:sz w:val="27"/>
          <w:u w:color="FF0000"/>
        </w:rPr>
        <w:t xml:space="preserve"> to go out to a strip club or to shoot pool.  </w:t>
      </w:r>
      <w:r w:rsidRPr="0052255D" w:rsidR="00AF49CA">
        <w:rPr>
          <w:rFonts w:ascii="Century Schoolbook" w:hAnsi="Century Schoolbook"/>
          <w:color w:val="auto"/>
          <w:sz w:val="27"/>
          <w:u w:color="FF0000"/>
        </w:rPr>
        <w:t>Defendant</w:t>
      </w:r>
      <w:r w:rsidRPr="0052255D" w:rsidR="000A71CA">
        <w:rPr>
          <w:rFonts w:ascii="Century Schoolbook" w:hAnsi="Century Schoolbook"/>
          <w:color w:val="auto"/>
          <w:sz w:val="27"/>
          <w:u w:color="FF0000"/>
        </w:rPr>
        <w:t>, who w</w:t>
      </w:r>
      <w:r w:rsidRPr="0052255D" w:rsidR="007C50CB">
        <w:rPr>
          <w:rFonts w:ascii="Century Schoolbook" w:hAnsi="Century Schoolbook"/>
          <w:color w:val="auto"/>
          <w:sz w:val="27"/>
          <w:u w:color="FF0000"/>
        </w:rPr>
        <w:t>eighed more than 300 pounds,</w:t>
      </w:r>
      <w:r w:rsidRPr="0052255D" w:rsidR="00AF49CA">
        <w:rPr>
          <w:rFonts w:ascii="Century Schoolbook" w:hAnsi="Century Schoolbook"/>
          <w:color w:val="auto"/>
          <w:sz w:val="27"/>
          <w:u w:color="FF0000"/>
        </w:rPr>
        <w:t xml:space="preserve"> </w:t>
      </w:r>
      <w:r w:rsidRPr="0052255D" w:rsidR="00A44F26">
        <w:rPr>
          <w:rFonts w:ascii="Century Schoolbook" w:hAnsi="Century Schoolbook"/>
          <w:color w:val="auto"/>
          <w:sz w:val="27"/>
          <w:u w:color="FF0000"/>
        </w:rPr>
        <w:t>w</w:t>
      </w:r>
      <w:r w:rsidRPr="0052255D" w:rsidR="000F0EC0">
        <w:rPr>
          <w:rFonts w:ascii="Century Schoolbook" w:hAnsi="Century Schoolbook"/>
          <w:color w:val="auto"/>
          <w:sz w:val="27"/>
          <w:u w:color="FF0000"/>
        </w:rPr>
        <w:t>as wearing</w:t>
      </w:r>
      <w:r w:rsidRPr="0052255D" w:rsidR="00AF49CA">
        <w:rPr>
          <w:rFonts w:ascii="Century Schoolbook" w:hAnsi="Century Schoolbook"/>
          <w:color w:val="auto"/>
          <w:sz w:val="27"/>
          <w:u w:color="FF0000"/>
        </w:rPr>
        <w:t xml:space="preserve"> dark jeans and a </w:t>
      </w:r>
      <w:r w:rsidRPr="0052255D" w:rsidR="00277A46">
        <w:rPr>
          <w:rFonts w:ascii="Century Schoolbook" w:hAnsi="Century Schoolbook"/>
          <w:color w:val="auto"/>
          <w:sz w:val="27"/>
          <w:u w:color="FF0000"/>
        </w:rPr>
        <w:t xml:space="preserve">green-and-black </w:t>
      </w:r>
      <w:r w:rsidRPr="0052255D" w:rsidR="00A06B39">
        <w:rPr>
          <w:rFonts w:ascii="Century Schoolbook" w:hAnsi="Century Schoolbook"/>
          <w:color w:val="auto"/>
          <w:sz w:val="27"/>
          <w:u w:color="FF0000"/>
        </w:rPr>
        <w:t xml:space="preserve">plaid </w:t>
      </w:r>
      <w:r w:rsidRPr="0052255D" w:rsidR="00A44F26">
        <w:rPr>
          <w:rFonts w:ascii="Century Schoolbook" w:hAnsi="Century Schoolbook"/>
          <w:color w:val="auto"/>
          <w:sz w:val="27"/>
          <w:u w:color="FF0000"/>
        </w:rPr>
        <w:t>flannel; Carrillo</w:t>
      </w:r>
      <w:r w:rsidRPr="0052255D" w:rsidR="007C50CB">
        <w:rPr>
          <w:rFonts w:ascii="Century Schoolbook" w:hAnsi="Century Schoolbook"/>
          <w:color w:val="auto"/>
          <w:sz w:val="27"/>
          <w:u w:color="FF0000"/>
        </w:rPr>
        <w:t>, who had a thinner build,</w:t>
      </w:r>
      <w:r w:rsidRPr="0052255D" w:rsidR="00A44F26">
        <w:rPr>
          <w:rFonts w:ascii="Century Schoolbook" w:hAnsi="Century Schoolbook"/>
          <w:color w:val="auto"/>
          <w:sz w:val="27"/>
          <w:u w:color="FF0000"/>
        </w:rPr>
        <w:t xml:space="preserve"> wore a white jersey</w:t>
      </w:r>
      <w:r w:rsidRPr="0052255D" w:rsidR="00A06B39">
        <w:rPr>
          <w:rFonts w:ascii="Century Schoolbook" w:hAnsi="Century Schoolbook"/>
          <w:color w:val="auto"/>
          <w:sz w:val="27"/>
          <w:u w:color="FF0000"/>
        </w:rPr>
        <w:t xml:space="preserve"> with black letters</w:t>
      </w:r>
      <w:r w:rsidRPr="0052255D" w:rsidR="00E50906">
        <w:rPr>
          <w:rFonts w:ascii="Century Schoolbook" w:hAnsi="Century Schoolbook"/>
          <w:color w:val="auto"/>
          <w:sz w:val="27"/>
          <w:u w:color="FF0000"/>
        </w:rPr>
        <w:t xml:space="preserve"> and a beanie on his head</w:t>
      </w:r>
      <w:r w:rsidRPr="0052255D" w:rsidR="00A06B39">
        <w:rPr>
          <w:rFonts w:ascii="Century Schoolbook" w:hAnsi="Century Schoolbook"/>
          <w:color w:val="auto"/>
          <w:sz w:val="27"/>
          <w:u w:color="FF0000"/>
        </w:rPr>
        <w:t xml:space="preserve">. </w:t>
      </w:r>
      <w:r w:rsidRPr="0052255D" w:rsidR="00A06B39">
        <w:rPr>
          <w:rFonts w:ascii="Century Schoolbook" w:hAnsi="Century Schoolbook"/>
          <w:color w:val="000000" w:themeColor="text1"/>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 xml:space="preserve">As </w:t>
      </w:r>
      <w:r w:rsidRPr="0052255D" w:rsidR="009A5C95">
        <w:rPr>
          <w:rFonts w:ascii="Century Schoolbook" w:hAnsi="Century Schoolbook"/>
          <w:color w:val="auto"/>
          <w:sz w:val="27"/>
          <w:u w:color="FF0000"/>
        </w:rPr>
        <w:t>the group</w:t>
      </w:r>
      <w:r w:rsidRPr="0052255D">
        <w:rPr>
          <w:rFonts w:ascii="Century Schoolbook" w:hAnsi="Century Schoolbook"/>
          <w:color w:val="auto"/>
          <w:sz w:val="27"/>
          <w:u w:color="FF0000"/>
        </w:rPr>
        <w:t xml:space="preserve"> walked toward Masubayashi’s car</w:t>
      </w:r>
      <w:r w:rsidRPr="0052255D" w:rsidR="008E34F2">
        <w:rPr>
          <w:rFonts w:ascii="Century Schoolbook" w:hAnsi="Century Schoolbook"/>
          <w:color w:val="auto"/>
          <w:sz w:val="27"/>
          <w:u w:color="FF0000"/>
        </w:rPr>
        <w:t xml:space="preserve">, </w:t>
      </w:r>
      <w:r w:rsidRPr="0052255D" w:rsidR="00F07A1A">
        <w:rPr>
          <w:rFonts w:ascii="Century Schoolbook" w:hAnsi="Century Schoolbook"/>
          <w:color w:val="auto"/>
          <w:sz w:val="27"/>
          <w:u w:color="FF0000"/>
        </w:rPr>
        <w:t>they noticed a</w:t>
      </w:r>
      <w:r w:rsidRPr="0052255D">
        <w:rPr>
          <w:rFonts w:ascii="Century Schoolbook" w:hAnsi="Century Schoolbook"/>
          <w:color w:val="auto"/>
          <w:sz w:val="27"/>
          <w:u w:color="FF0000"/>
        </w:rPr>
        <w:t xml:space="preserve"> </w:t>
      </w:r>
      <w:r w:rsidRPr="0052255D" w:rsidR="00D31F23">
        <w:rPr>
          <w:rFonts w:ascii="Century Schoolbook" w:hAnsi="Century Schoolbook"/>
          <w:color w:val="auto"/>
          <w:sz w:val="27"/>
          <w:u w:color="FF0000"/>
        </w:rPr>
        <w:t xml:space="preserve">police </w:t>
      </w:r>
      <w:r w:rsidRPr="0052255D">
        <w:rPr>
          <w:rFonts w:ascii="Century Schoolbook" w:hAnsi="Century Schoolbook"/>
          <w:color w:val="auto"/>
          <w:sz w:val="27"/>
          <w:u w:color="FF0000"/>
        </w:rPr>
        <w:t>patrol car dr</w:t>
      </w:r>
      <w:r w:rsidRPr="0052255D" w:rsidR="00F07A1A">
        <w:rPr>
          <w:rFonts w:ascii="Century Schoolbook" w:hAnsi="Century Schoolbook"/>
          <w:color w:val="auto"/>
          <w:sz w:val="27"/>
          <w:u w:color="FF0000"/>
        </w:rPr>
        <w:t>i</w:t>
      </w:r>
      <w:r w:rsidRPr="0052255D">
        <w:rPr>
          <w:rFonts w:ascii="Century Schoolbook" w:hAnsi="Century Schoolbook"/>
          <w:color w:val="auto"/>
          <w:sz w:val="27"/>
          <w:u w:color="FF0000"/>
        </w:rPr>
        <w:t>v</w:t>
      </w:r>
      <w:r w:rsidRPr="0052255D" w:rsidR="00F07A1A">
        <w:rPr>
          <w:rFonts w:ascii="Century Schoolbook" w:hAnsi="Century Schoolbook"/>
          <w:color w:val="auto"/>
          <w:sz w:val="27"/>
          <w:u w:color="FF0000"/>
        </w:rPr>
        <w:t>ing</w:t>
      </w:r>
      <w:r w:rsidRPr="0052255D">
        <w:rPr>
          <w:rFonts w:ascii="Century Schoolbook" w:hAnsi="Century Schoolbook"/>
          <w:color w:val="auto"/>
          <w:sz w:val="27"/>
          <w:u w:color="FF0000"/>
        </w:rPr>
        <w:t xml:space="preserve"> by.  </w:t>
      </w:r>
      <w:r w:rsidR="004B67ED">
        <w:rPr>
          <w:rFonts w:ascii="Century Schoolbook" w:hAnsi="Century Schoolbook"/>
          <w:color w:val="auto"/>
          <w:sz w:val="27"/>
          <w:u w:color="FF0000"/>
        </w:rPr>
        <w:t>Masubayashi and Carrillo saw d</w:t>
      </w:r>
      <w:r w:rsidRPr="0052255D">
        <w:rPr>
          <w:rFonts w:ascii="Century Schoolbook" w:hAnsi="Century Schoolbook"/>
          <w:color w:val="auto"/>
          <w:sz w:val="27"/>
          <w:u w:color="FF0000"/>
        </w:rPr>
        <w:t xml:space="preserve">efendant </w:t>
      </w:r>
      <w:r w:rsidRPr="0052255D" w:rsidR="00A660FC">
        <w:rPr>
          <w:rFonts w:ascii="Century Schoolbook" w:hAnsi="Century Schoolbook"/>
          <w:color w:val="auto"/>
          <w:sz w:val="27"/>
          <w:u w:color="FF0000"/>
        </w:rPr>
        <w:t xml:space="preserve">remove </w:t>
      </w:r>
      <w:r w:rsidR="00E27B6F">
        <w:rPr>
          <w:rFonts w:ascii="Century Schoolbook" w:hAnsi="Century Schoolbook"/>
          <w:color w:val="auto"/>
          <w:sz w:val="27"/>
          <w:u w:color="FF0000"/>
        </w:rPr>
        <w:t>his</w:t>
      </w:r>
      <w:r w:rsidRPr="0052255D" w:rsidR="00E27B6F">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gun </w:t>
      </w:r>
      <w:r w:rsidRPr="0052255D" w:rsidR="00333DE0">
        <w:rPr>
          <w:rFonts w:ascii="Century Schoolbook" w:hAnsi="Century Schoolbook"/>
          <w:color w:val="auto"/>
          <w:sz w:val="27"/>
          <w:u w:color="FF0000"/>
        </w:rPr>
        <w:t>from</w:t>
      </w:r>
      <w:r w:rsidRPr="0052255D">
        <w:rPr>
          <w:rFonts w:ascii="Century Schoolbook" w:hAnsi="Century Schoolbook"/>
          <w:color w:val="auto"/>
          <w:sz w:val="27"/>
          <w:u w:color="FF0000"/>
        </w:rPr>
        <w:t xml:space="preserve"> his waistband and hid</w:t>
      </w:r>
      <w:r w:rsidR="0025119D">
        <w:rPr>
          <w:rFonts w:ascii="Century Schoolbook" w:hAnsi="Century Schoolbook"/>
          <w:color w:val="auto"/>
          <w:sz w:val="27"/>
          <w:u w:color="FF0000"/>
        </w:rPr>
        <w:t>e</w:t>
      </w:r>
      <w:r w:rsidRPr="0052255D">
        <w:rPr>
          <w:rFonts w:ascii="Century Schoolbook" w:hAnsi="Century Schoolbook"/>
          <w:color w:val="auto"/>
          <w:sz w:val="27"/>
          <w:u w:color="FF0000"/>
        </w:rPr>
        <w:t xml:space="preserve"> it beneath </w:t>
      </w:r>
      <w:r w:rsidRPr="0052255D" w:rsidR="00C4070A">
        <w:rPr>
          <w:rFonts w:ascii="Century Schoolbook" w:hAnsi="Century Schoolbook"/>
          <w:color w:val="auto"/>
          <w:sz w:val="27"/>
          <w:u w:color="FF0000"/>
        </w:rPr>
        <w:t xml:space="preserve">the tire of </w:t>
      </w:r>
      <w:r w:rsidRPr="0052255D">
        <w:rPr>
          <w:rFonts w:ascii="Century Schoolbook" w:hAnsi="Century Schoolbook"/>
          <w:color w:val="auto"/>
          <w:sz w:val="27"/>
          <w:u w:color="FF0000"/>
        </w:rPr>
        <w:t xml:space="preserve">a parked car. </w:t>
      </w:r>
      <w:r w:rsidRPr="0052255D">
        <w:rPr>
          <w:rFonts w:ascii="Century Schoolbook" w:hAnsi="Century Schoolbook"/>
          <w:color w:val="000000" w:themeColor="text1"/>
          <w:sz w:val="27"/>
          <w:u w:color="FF0000"/>
        </w:rPr>
        <w:t xml:space="preserve"> </w:t>
      </w:r>
      <w:r w:rsidRPr="0052255D">
        <w:rPr>
          <w:rFonts w:ascii="Century Schoolbook" w:hAnsi="Century Schoolbook"/>
          <w:color w:val="auto"/>
          <w:sz w:val="27"/>
          <w:u w:color="FF0000"/>
        </w:rPr>
        <w:t xml:space="preserve">Defendant and Carrillo returned to Suzuki’s apartment, where defendant </w:t>
      </w:r>
      <w:r w:rsidRPr="0052255D" w:rsidR="00E62FF3">
        <w:rPr>
          <w:rFonts w:ascii="Century Schoolbook" w:hAnsi="Century Schoolbook"/>
          <w:color w:val="auto"/>
          <w:sz w:val="27"/>
          <w:u w:color="FF0000"/>
        </w:rPr>
        <w:t xml:space="preserve">explained to </w:t>
      </w:r>
      <w:r w:rsidRPr="0052255D" w:rsidR="003707A2">
        <w:rPr>
          <w:rFonts w:ascii="Century Schoolbook" w:hAnsi="Century Schoolbook"/>
          <w:color w:val="auto"/>
          <w:sz w:val="27"/>
          <w:u w:color="FF0000"/>
        </w:rPr>
        <w:t>Her</w:t>
      </w:r>
      <w:r w:rsidRPr="0052255D">
        <w:rPr>
          <w:rFonts w:ascii="Century Schoolbook" w:hAnsi="Century Schoolbook"/>
          <w:color w:val="auto"/>
          <w:sz w:val="27"/>
          <w:u w:color="FF0000"/>
        </w:rPr>
        <w:t xml:space="preserve"> </w:t>
      </w:r>
      <w:r w:rsidRPr="0052255D" w:rsidR="00BB3AEC">
        <w:rPr>
          <w:rFonts w:ascii="Century Schoolbook" w:hAnsi="Century Schoolbook"/>
          <w:color w:val="auto"/>
          <w:sz w:val="27"/>
          <w:u w:color="FF0000"/>
        </w:rPr>
        <w:t xml:space="preserve">that </w:t>
      </w:r>
      <w:r w:rsidRPr="0052255D" w:rsidR="00E62FF3">
        <w:rPr>
          <w:rFonts w:ascii="Century Schoolbook" w:hAnsi="Century Schoolbook"/>
          <w:color w:val="auto"/>
          <w:sz w:val="27"/>
          <w:u w:color="FF0000"/>
        </w:rPr>
        <w:t xml:space="preserve">they </w:t>
      </w:r>
      <w:r w:rsidRPr="0052255D" w:rsidR="004E3527">
        <w:rPr>
          <w:rFonts w:ascii="Century Schoolbook" w:hAnsi="Century Schoolbook"/>
          <w:color w:val="auto"/>
          <w:sz w:val="27"/>
          <w:u w:color="FF0000"/>
        </w:rPr>
        <w:t>had come</w:t>
      </w:r>
      <w:r w:rsidRPr="0052255D" w:rsidR="00BB3AEC">
        <w:rPr>
          <w:rFonts w:ascii="Century Schoolbook" w:hAnsi="Century Schoolbook"/>
          <w:color w:val="auto"/>
          <w:sz w:val="27"/>
          <w:u w:color="FF0000"/>
        </w:rPr>
        <w:t xml:space="preserve"> back because </w:t>
      </w:r>
      <w:r w:rsidRPr="0052255D">
        <w:rPr>
          <w:rFonts w:ascii="Century Schoolbook" w:hAnsi="Century Schoolbook"/>
          <w:color w:val="auto"/>
          <w:sz w:val="27"/>
          <w:u w:color="FF0000"/>
        </w:rPr>
        <w:t xml:space="preserve">the police were outside and he was “strapped,” meaning he had a gun.  After the patrol car left, </w:t>
      </w:r>
      <w:r w:rsidRPr="0052255D" w:rsidR="00423694">
        <w:rPr>
          <w:rFonts w:ascii="Century Schoolbook" w:hAnsi="Century Schoolbook"/>
          <w:color w:val="auto"/>
          <w:sz w:val="27"/>
          <w:u w:color="FF0000"/>
        </w:rPr>
        <w:t>John</w:t>
      </w:r>
      <w:r w:rsidRPr="0052255D" w:rsidR="002C018E">
        <w:rPr>
          <w:rFonts w:ascii="Century Schoolbook" w:hAnsi="Century Schoolbook"/>
          <w:color w:val="auto"/>
          <w:sz w:val="27"/>
          <w:u w:color="FF0000"/>
        </w:rPr>
        <w:t>s</w:t>
      </w:r>
      <w:r w:rsidRPr="0052255D" w:rsidR="00423694">
        <w:rPr>
          <w:rFonts w:ascii="Century Schoolbook" w:hAnsi="Century Schoolbook"/>
          <w:color w:val="auto"/>
          <w:sz w:val="27"/>
          <w:u w:color="FF0000"/>
        </w:rPr>
        <w:t>on</w:t>
      </w:r>
      <w:r w:rsidRPr="0052255D">
        <w:rPr>
          <w:rFonts w:ascii="Century Schoolbook" w:hAnsi="Century Schoolbook"/>
          <w:color w:val="auto"/>
          <w:sz w:val="27"/>
          <w:u w:color="FF0000"/>
        </w:rPr>
        <w:t xml:space="preserve"> returned to the apartment to collect defendant and Carrillo</w:t>
      </w:r>
      <w:r w:rsidRPr="0052255D" w:rsidR="00D31F23">
        <w:rPr>
          <w:rFonts w:ascii="Century Schoolbook" w:hAnsi="Century Schoolbook"/>
          <w:color w:val="auto"/>
          <w:sz w:val="27"/>
          <w:u w:color="FF0000"/>
        </w:rPr>
        <w:t>,</w:t>
      </w:r>
      <w:r w:rsidRPr="0052255D" w:rsidR="00952BB1">
        <w:rPr>
          <w:rFonts w:ascii="Century Schoolbook" w:hAnsi="Century Schoolbook"/>
          <w:color w:val="auto"/>
          <w:sz w:val="27"/>
          <w:u w:color="FF0000"/>
        </w:rPr>
        <w:t xml:space="preserve"> while Masubayashi continued walking to his </w:t>
      </w:r>
      <w:r w:rsidRPr="0052255D" w:rsidR="005361F9">
        <w:rPr>
          <w:rFonts w:ascii="Century Schoolbook" w:hAnsi="Century Schoolbook"/>
          <w:color w:val="auto"/>
          <w:sz w:val="27"/>
          <w:u w:color="FF0000"/>
        </w:rPr>
        <w:t>vehicle</w:t>
      </w:r>
      <w:r w:rsidRPr="0052255D">
        <w:rPr>
          <w:rFonts w:ascii="Century Schoolbook" w:hAnsi="Century Schoolbook"/>
          <w:color w:val="auto"/>
          <w:sz w:val="27"/>
          <w:u w:color="FF0000"/>
        </w:rPr>
        <w:t xml:space="preserve">.  Defendant retrieved the gun </w:t>
      </w:r>
      <w:r w:rsidRPr="0052255D" w:rsidR="001A07CE">
        <w:rPr>
          <w:rFonts w:ascii="Century Schoolbook" w:hAnsi="Century Schoolbook"/>
          <w:color w:val="auto"/>
          <w:sz w:val="27"/>
          <w:u w:color="FF0000"/>
        </w:rPr>
        <w:t>once outside</w:t>
      </w:r>
      <w:r w:rsidRPr="0052255D" w:rsidR="00AD6704">
        <w:rPr>
          <w:rFonts w:ascii="Century Schoolbook" w:hAnsi="Century Schoolbook"/>
          <w:color w:val="auto"/>
          <w:sz w:val="27"/>
          <w:u w:color="FF0000"/>
        </w:rPr>
        <w:t xml:space="preserve"> and Masubayashi</w:t>
      </w:r>
      <w:r w:rsidRPr="0052255D" w:rsidR="009503B2">
        <w:rPr>
          <w:rFonts w:ascii="Century Schoolbook" w:hAnsi="Century Schoolbook"/>
          <w:color w:val="auto"/>
          <w:sz w:val="27"/>
          <w:u w:color="FF0000"/>
        </w:rPr>
        <w:t xml:space="preserve"> picked the men up in his</w:t>
      </w:r>
      <w:r w:rsidRPr="0052255D" w:rsidR="00AD6704">
        <w:rPr>
          <w:rFonts w:ascii="Century Schoolbook" w:hAnsi="Century Schoolbook"/>
          <w:color w:val="auto"/>
          <w:sz w:val="27"/>
          <w:u w:color="FF0000"/>
        </w:rPr>
        <w:t xml:space="preserve"> </w:t>
      </w:r>
      <w:r w:rsidRPr="0052255D" w:rsidR="008E34F2">
        <w:rPr>
          <w:rFonts w:ascii="Century Schoolbook" w:hAnsi="Century Schoolbook"/>
          <w:color w:val="auto"/>
          <w:sz w:val="27"/>
          <w:u w:color="FF0000"/>
        </w:rPr>
        <w:t>car</w:t>
      </w:r>
      <w:r w:rsidRPr="0052255D" w:rsidR="00FC4B43">
        <w:rPr>
          <w:rFonts w:ascii="Century Schoolbook" w:hAnsi="Century Schoolbook"/>
          <w:color w:val="auto"/>
          <w:sz w:val="27"/>
          <w:u w:color="FF0000"/>
        </w:rPr>
        <w:t>, a two-door Nissan</w:t>
      </w:r>
      <w:r w:rsidRPr="0052255D">
        <w:rPr>
          <w:rFonts w:ascii="Century Schoolbook" w:hAnsi="Century Schoolbook"/>
          <w:color w:val="auto"/>
          <w:sz w:val="27"/>
          <w:u w:color="FF0000"/>
        </w:rPr>
        <w:t xml:space="preserve">.  Carrillo sat behind Masubayashi and defendant sat behind Johnson.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 xml:space="preserve">Defendant and Carrillo </w:t>
      </w:r>
      <w:r w:rsidRPr="0052255D" w:rsidR="00C33455">
        <w:rPr>
          <w:rFonts w:ascii="Century Schoolbook" w:hAnsi="Century Schoolbook"/>
          <w:color w:val="auto"/>
          <w:sz w:val="27"/>
          <w:u w:color="FF0000"/>
        </w:rPr>
        <w:t xml:space="preserve">told Masubayashi that they </w:t>
      </w:r>
      <w:r w:rsidRPr="0052255D" w:rsidR="00AD1359">
        <w:rPr>
          <w:rFonts w:ascii="Century Schoolbook" w:hAnsi="Century Schoolbook"/>
          <w:color w:val="auto"/>
          <w:sz w:val="27"/>
          <w:u w:color="FF0000"/>
        </w:rPr>
        <w:t xml:space="preserve">also </w:t>
      </w:r>
      <w:r w:rsidRPr="0052255D" w:rsidR="00C33455">
        <w:rPr>
          <w:rFonts w:ascii="Century Schoolbook" w:hAnsi="Century Schoolbook"/>
          <w:color w:val="auto"/>
          <w:sz w:val="27"/>
          <w:u w:color="FF0000"/>
        </w:rPr>
        <w:t>wanted to drive</w:t>
      </w:r>
      <w:r w:rsidRPr="0052255D" w:rsidR="00F50A85">
        <w:rPr>
          <w:rFonts w:ascii="Century Schoolbook" w:hAnsi="Century Schoolbook"/>
          <w:color w:val="auto"/>
          <w:sz w:val="27"/>
          <w:u w:color="FF0000"/>
        </w:rPr>
        <w:t xml:space="preserve"> and directed him to </w:t>
      </w:r>
      <w:r w:rsidRPr="0052255D" w:rsidR="00C33455">
        <w:rPr>
          <w:rFonts w:ascii="Century Schoolbook" w:hAnsi="Century Schoolbook"/>
          <w:color w:val="auto"/>
          <w:sz w:val="27"/>
          <w:u w:color="FF0000"/>
        </w:rPr>
        <w:t>Chung’s Jeep</w:t>
      </w:r>
      <w:r w:rsidRPr="0052255D" w:rsidR="00D31F23">
        <w:rPr>
          <w:rFonts w:ascii="Century Schoolbook" w:hAnsi="Century Schoolbook"/>
          <w:color w:val="auto"/>
          <w:sz w:val="27"/>
          <w:u w:color="FF0000"/>
        </w:rPr>
        <w:t>.</w:t>
      </w:r>
      <w:r w:rsidRPr="0052255D" w:rsidR="00532C3F">
        <w:rPr>
          <w:rFonts w:ascii="Century Schoolbook" w:hAnsi="Century Schoolbook"/>
          <w:color w:val="auto"/>
          <w:sz w:val="27"/>
          <w:u w:color="FF0000"/>
        </w:rPr>
        <w:t xml:space="preserve"> </w:t>
      </w:r>
      <w:r w:rsidRPr="0052255D" w:rsidR="00D31F23">
        <w:rPr>
          <w:rFonts w:ascii="Century Schoolbook" w:hAnsi="Century Schoolbook"/>
          <w:color w:val="auto"/>
          <w:sz w:val="27"/>
          <w:u w:color="FF0000"/>
        </w:rPr>
        <w:t xml:space="preserve"> U</w:t>
      </w:r>
      <w:r w:rsidRPr="0052255D" w:rsidR="00532C3F">
        <w:rPr>
          <w:rFonts w:ascii="Century Schoolbook" w:hAnsi="Century Schoolbook"/>
          <w:color w:val="auto"/>
          <w:sz w:val="27"/>
          <w:u w:color="FF0000"/>
        </w:rPr>
        <w:t xml:space="preserve">nbeknownst </w:t>
      </w:r>
      <w:r w:rsidRPr="0052255D" w:rsidR="00922215">
        <w:rPr>
          <w:rFonts w:ascii="Century Schoolbook" w:hAnsi="Century Schoolbook"/>
          <w:color w:val="auto"/>
          <w:sz w:val="27"/>
          <w:u w:color="FF0000"/>
        </w:rPr>
        <w:t>to Masubayashi and Johnson</w:t>
      </w:r>
      <w:r w:rsidRPr="0052255D">
        <w:rPr>
          <w:rFonts w:ascii="Century Schoolbook" w:hAnsi="Century Schoolbook"/>
          <w:color w:val="auto"/>
          <w:sz w:val="27"/>
          <w:u w:color="FF0000"/>
        </w:rPr>
        <w:t>, Lee and Chung were hiding</w:t>
      </w:r>
      <w:r w:rsidRPr="0052255D" w:rsidR="00D31F23">
        <w:rPr>
          <w:rFonts w:ascii="Century Schoolbook" w:hAnsi="Century Schoolbook"/>
          <w:color w:val="auto"/>
          <w:sz w:val="27"/>
          <w:u w:color="FF0000"/>
        </w:rPr>
        <w:t xml:space="preserve"> inside the Jeep</w:t>
      </w:r>
      <w:r w:rsidRPr="0052255D">
        <w:rPr>
          <w:rFonts w:ascii="Century Schoolbook" w:hAnsi="Century Schoolbook"/>
          <w:color w:val="auto"/>
          <w:sz w:val="27"/>
          <w:u w:color="FF0000"/>
        </w:rPr>
        <w:t xml:space="preserve">.  </w:t>
      </w:r>
      <w:r w:rsidRPr="0052255D" w:rsidR="006E6190">
        <w:rPr>
          <w:rFonts w:ascii="Century Schoolbook" w:hAnsi="Century Schoolbook"/>
          <w:color w:val="auto"/>
          <w:sz w:val="27"/>
          <w:u w:color="FF0000"/>
        </w:rPr>
        <w:t xml:space="preserve">Masubayashi parked his car next to the Jeep and </w:t>
      </w:r>
      <w:r w:rsidRPr="0052255D">
        <w:rPr>
          <w:rFonts w:ascii="Century Schoolbook" w:hAnsi="Century Schoolbook"/>
          <w:color w:val="auto"/>
          <w:sz w:val="27"/>
          <w:u w:color="FF0000"/>
        </w:rPr>
        <w:t xml:space="preserve">Johnson </w:t>
      </w:r>
      <w:r w:rsidRPr="0052255D" w:rsidR="00D82D5B">
        <w:rPr>
          <w:rFonts w:ascii="Century Schoolbook" w:hAnsi="Century Schoolbook"/>
          <w:color w:val="auto"/>
          <w:sz w:val="27"/>
          <w:u w:color="FF0000"/>
        </w:rPr>
        <w:t xml:space="preserve">got out of the </w:t>
      </w:r>
      <w:r w:rsidRPr="0052255D" w:rsidR="00AC2C15">
        <w:rPr>
          <w:rFonts w:ascii="Century Schoolbook" w:hAnsi="Century Schoolbook"/>
          <w:color w:val="auto"/>
          <w:sz w:val="27"/>
          <w:u w:color="FF0000"/>
        </w:rPr>
        <w:t>front seat</w:t>
      </w:r>
      <w:r w:rsidRPr="0052255D" w:rsidR="00D82D5B">
        <w:rPr>
          <w:rFonts w:ascii="Century Schoolbook" w:hAnsi="Century Schoolbook"/>
          <w:color w:val="auto"/>
          <w:sz w:val="27"/>
          <w:u w:color="FF0000"/>
        </w:rPr>
        <w:t xml:space="preserve"> to </w:t>
      </w:r>
      <w:r w:rsidRPr="0052255D">
        <w:rPr>
          <w:rFonts w:ascii="Century Schoolbook" w:hAnsi="Century Schoolbook"/>
          <w:color w:val="auto"/>
          <w:sz w:val="27"/>
          <w:u w:color="FF0000"/>
        </w:rPr>
        <w:t xml:space="preserve">let defendant </w:t>
      </w:r>
      <w:r w:rsidRPr="0052255D" w:rsidR="0048738D">
        <w:rPr>
          <w:rFonts w:ascii="Century Schoolbook" w:hAnsi="Century Schoolbook"/>
          <w:color w:val="auto"/>
          <w:sz w:val="27"/>
          <w:u w:color="FF0000"/>
        </w:rPr>
        <w:t xml:space="preserve">and Carrillo </w:t>
      </w:r>
      <w:r w:rsidR="008A65BC">
        <w:rPr>
          <w:rFonts w:ascii="Century Schoolbook" w:hAnsi="Century Schoolbook"/>
          <w:color w:val="auto"/>
          <w:sz w:val="27"/>
          <w:u w:color="FF0000"/>
        </w:rPr>
        <w:t xml:space="preserve">exit </w:t>
      </w:r>
      <w:r w:rsidRPr="0052255D">
        <w:rPr>
          <w:rFonts w:ascii="Century Schoolbook" w:hAnsi="Century Schoolbook"/>
          <w:color w:val="auto"/>
          <w:sz w:val="27"/>
          <w:u w:color="FF0000"/>
        </w:rPr>
        <w:t xml:space="preserve">the </w:t>
      </w:r>
      <w:r w:rsidRPr="0052255D" w:rsidR="008F1C3F">
        <w:rPr>
          <w:rFonts w:ascii="Century Schoolbook" w:hAnsi="Century Schoolbook"/>
          <w:color w:val="auto"/>
          <w:sz w:val="27"/>
          <w:u w:color="FF0000"/>
        </w:rPr>
        <w:t>car</w:t>
      </w:r>
      <w:r w:rsidRPr="0052255D">
        <w:rPr>
          <w:rFonts w:ascii="Century Schoolbook" w:hAnsi="Century Schoolbook"/>
          <w:color w:val="auto"/>
          <w:sz w:val="27"/>
          <w:u w:color="FF0000"/>
        </w:rPr>
        <w:t xml:space="preserve">. </w:t>
      </w:r>
      <w:r w:rsidRPr="0052255D">
        <w:rPr>
          <w:rFonts w:ascii="Century Schoolbook" w:hAnsi="Century Schoolbook"/>
          <w:color w:val="000000" w:themeColor="text1"/>
          <w:sz w:val="27"/>
          <w:u w:color="FF0000"/>
        </w:rPr>
        <w:t xml:space="preserve"> </w:t>
      </w:r>
      <w:r w:rsidRPr="0052255D" w:rsidR="008F5DE8">
        <w:rPr>
          <w:rFonts w:ascii="Century Schoolbook" w:hAnsi="Century Schoolbook"/>
          <w:color w:val="auto"/>
          <w:sz w:val="27"/>
          <w:u w:color="FF0000"/>
        </w:rPr>
        <w:t xml:space="preserve">Masubayashi saw Carrillo walk toward the back of the Nissan while defendant </w:t>
      </w:r>
      <w:r w:rsidRPr="0052255D" w:rsidR="00E456F2">
        <w:rPr>
          <w:rFonts w:ascii="Century Schoolbook" w:hAnsi="Century Schoolbook"/>
          <w:color w:val="auto"/>
          <w:sz w:val="27"/>
          <w:u w:color="FF0000"/>
        </w:rPr>
        <w:t xml:space="preserve">stayed </w:t>
      </w:r>
      <w:r w:rsidRPr="0052255D" w:rsidR="0030659C">
        <w:rPr>
          <w:rFonts w:ascii="Century Schoolbook" w:hAnsi="Century Schoolbook"/>
          <w:color w:val="auto"/>
          <w:sz w:val="27"/>
          <w:u w:color="FF0000"/>
        </w:rPr>
        <w:t>beside</w:t>
      </w:r>
      <w:r w:rsidRPr="0052255D" w:rsidR="00E456F2">
        <w:rPr>
          <w:rFonts w:ascii="Century Schoolbook" w:hAnsi="Century Schoolbook"/>
          <w:color w:val="auto"/>
          <w:sz w:val="27"/>
          <w:u w:color="FF0000"/>
        </w:rPr>
        <w:t xml:space="preserve"> the passenger door.  </w:t>
      </w:r>
      <w:r w:rsidRPr="0052255D" w:rsidR="007640BB">
        <w:rPr>
          <w:rFonts w:ascii="Century Schoolbook" w:hAnsi="Century Schoolbook"/>
          <w:color w:val="auto"/>
          <w:sz w:val="27"/>
          <w:u w:color="FF0000"/>
        </w:rPr>
        <w:t xml:space="preserve">Masubayashi </w:t>
      </w:r>
      <w:r w:rsidRPr="0052255D" w:rsidR="00721226">
        <w:rPr>
          <w:rFonts w:ascii="Century Schoolbook" w:hAnsi="Century Schoolbook"/>
          <w:color w:val="auto"/>
          <w:sz w:val="27"/>
          <w:u w:color="FF0000"/>
        </w:rPr>
        <w:t xml:space="preserve">recalled that he had </w:t>
      </w:r>
      <w:r w:rsidRPr="0052255D" w:rsidR="00DB757D">
        <w:rPr>
          <w:rFonts w:ascii="Century Schoolbook" w:hAnsi="Century Schoolbook"/>
          <w:color w:val="auto"/>
          <w:sz w:val="27"/>
          <w:u w:color="FF0000"/>
        </w:rPr>
        <w:t xml:space="preserve">left </w:t>
      </w:r>
      <w:r w:rsidRPr="0052255D" w:rsidR="0034221B">
        <w:rPr>
          <w:rFonts w:ascii="Century Schoolbook" w:hAnsi="Century Schoolbook"/>
          <w:color w:val="auto"/>
          <w:sz w:val="27"/>
          <w:u w:color="FF0000"/>
        </w:rPr>
        <w:t xml:space="preserve">compact discs </w:t>
      </w:r>
      <w:r w:rsidRPr="0052255D" w:rsidR="00721226">
        <w:rPr>
          <w:rFonts w:ascii="Century Schoolbook" w:hAnsi="Century Schoolbook"/>
          <w:color w:val="auto"/>
          <w:sz w:val="27"/>
          <w:u w:color="FF0000"/>
        </w:rPr>
        <w:t xml:space="preserve">in </w:t>
      </w:r>
      <w:r w:rsidRPr="0052255D" w:rsidR="00DB757D">
        <w:rPr>
          <w:rFonts w:ascii="Century Schoolbook" w:hAnsi="Century Schoolbook"/>
          <w:color w:val="auto"/>
          <w:sz w:val="27"/>
          <w:u w:color="FF0000"/>
        </w:rPr>
        <w:t xml:space="preserve">Chung’s </w:t>
      </w:r>
      <w:r w:rsidRPr="0052255D" w:rsidR="00721226">
        <w:rPr>
          <w:rFonts w:ascii="Century Schoolbook" w:hAnsi="Century Schoolbook"/>
          <w:color w:val="auto"/>
          <w:sz w:val="27"/>
          <w:u w:color="FF0000"/>
        </w:rPr>
        <w:t>Jeep and opened his car door</w:t>
      </w:r>
      <w:r w:rsidRPr="0052255D" w:rsidR="007640BB">
        <w:rPr>
          <w:rFonts w:ascii="Century Schoolbook" w:hAnsi="Century Schoolbook"/>
          <w:color w:val="auto"/>
          <w:sz w:val="27"/>
          <w:u w:color="FF0000"/>
        </w:rPr>
        <w:t xml:space="preserve"> to </w:t>
      </w:r>
      <w:r w:rsidRPr="0052255D" w:rsidR="00721226">
        <w:rPr>
          <w:rFonts w:ascii="Century Schoolbook" w:hAnsi="Century Schoolbook"/>
          <w:color w:val="auto"/>
          <w:sz w:val="27"/>
          <w:u w:color="FF0000"/>
        </w:rPr>
        <w:t>retrieve them</w:t>
      </w:r>
      <w:r w:rsidRPr="0052255D" w:rsidR="007640BB">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Defendant </w:t>
      </w:r>
      <w:r w:rsidRPr="0052255D" w:rsidR="0062594A">
        <w:rPr>
          <w:rFonts w:ascii="Century Schoolbook" w:hAnsi="Century Schoolbook"/>
          <w:color w:val="auto"/>
          <w:sz w:val="27"/>
          <w:u w:color="FF0000"/>
        </w:rPr>
        <w:t xml:space="preserve">suddenly drew his </w:t>
      </w:r>
      <w:r w:rsidRPr="0052255D">
        <w:rPr>
          <w:rFonts w:ascii="Century Schoolbook" w:hAnsi="Century Schoolbook"/>
          <w:color w:val="auto"/>
          <w:sz w:val="27"/>
          <w:u w:color="FF0000"/>
        </w:rPr>
        <w:t xml:space="preserve">gun and shot Johnson in the head.  </w:t>
      </w:r>
      <w:r w:rsidRPr="0052255D" w:rsidR="00BB254D">
        <w:rPr>
          <w:rFonts w:ascii="Century Schoolbook" w:hAnsi="Century Schoolbook"/>
          <w:color w:val="auto"/>
          <w:sz w:val="27"/>
          <w:u w:color="FF0000"/>
        </w:rPr>
        <w:t xml:space="preserve">Masubayashi turned and saw </w:t>
      </w:r>
      <w:r w:rsidRPr="0052255D" w:rsidR="008F49C9">
        <w:rPr>
          <w:rFonts w:ascii="Century Schoolbook" w:hAnsi="Century Schoolbook"/>
          <w:color w:val="auto"/>
          <w:sz w:val="27"/>
          <w:u w:color="FF0000"/>
        </w:rPr>
        <w:t>Johnson’s head bobbing</w:t>
      </w:r>
      <w:r w:rsidRPr="0052255D" w:rsidR="00247A09">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Defendant </w:t>
      </w:r>
      <w:r w:rsidR="00ED173A">
        <w:rPr>
          <w:rFonts w:ascii="Century Schoolbook" w:hAnsi="Century Schoolbook"/>
          <w:color w:val="auto"/>
          <w:sz w:val="27"/>
          <w:u w:color="FF0000"/>
        </w:rPr>
        <w:t xml:space="preserve">next </w:t>
      </w:r>
      <w:r w:rsidRPr="0052255D" w:rsidR="003977B6">
        <w:rPr>
          <w:rFonts w:ascii="Century Schoolbook" w:hAnsi="Century Schoolbook"/>
          <w:color w:val="auto"/>
          <w:sz w:val="27"/>
          <w:u w:color="FF0000"/>
        </w:rPr>
        <w:t xml:space="preserve">bent </w:t>
      </w:r>
      <w:r w:rsidRPr="0052255D">
        <w:rPr>
          <w:rFonts w:ascii="Century Schoolbook" w:hAnsi="Century Schoolbook"/>
          <w:color w:val="auto"/>
          <w:sz w:val="27"/>
          <w:u w:color="FF0000"/>
        </w:rPr>
        <w:t xml:space="preserve">inside the </w:t>
      </w:r>
      <w:r w:rsidRPr="0052255D" w:rsidR="00BD24CC">
        <w:rPr>
          <w:rFonts w:ascii="Century Schoolbook" w:hAnsi="Century Schoolbook"/>
          <w:color w:val="auto"/>
          <w:sz w:val="27"/>
          <w:u w:color="FF0000"/>
        </w:rPr>
        <w:t xml:space="preserve">Nissan </w:t>
      </w:r>
      <w:r w:rsidRPr="0052255D">
        <w:rPr>
          <w:rFonts w:ascii="Century Schoolbook" w:hAnsi="Century Schoolbook"/>
          <w:color w:val="auto"/>
          <w:sz w:val="27"/>
          <w:u w:color="FF0000"/>
        </w:rPr>
        <w:t xml:space="preserve">and shot Masubayashi.  </w:t>
      </w:r>
      <w:r w:rsidRPr="0052255D" w:rsidR="003977B6">
        <w:rPr>
          <w:rFonts w:ascii="Century Schoolbook" w:hAnsi="Century Schoolbook"/>
          <w:color w:val="auto"/>
          <w:sz w:val="27"/>
          <w:u w:color="FF0000"/>
        </w:rPr>
        <w:t xml:space="preserve">Just before he was shot, </w:t>
      </w:r>
      <w:r w:rsidRPr="0052255D" w:rsidR="00033B0D">
        <w:rPr>
          <w:rFonts w:ascii="Century Schoolbook" w:hAnsi="Century Schoolbook"/>
          <w:color w:val="auto"/>
          <w:sz w:val="27"/>
          <w:u w:color="FF0000"/>
        </w:rPr>
        <w:t xml:space="preserve">Masubayashi </w:t>
      </w:r>
      <w:r w:rsidRPr="0052255D" w:rsidR="004D339B">
        <w:rPr>
          <w:rFonts w:ascii="Century Schoolbook" w:hAnsi="Century Schoolbook"/>
          <w:color w:val="auto"/>
          <w:sz w:val="27"/>
          <w:u w:color="FF0000"/>
        </w:rPr>
        <w:t xml:space="preserve">remembered </w:t>
      </w:r>
      <w:r w:rsidRPr="0052255D" w:rsidR="004F21C7">
        <w:rPr>
          <w:rFonts w:ascii="Century Schoolbook" w:hAnsi="Century Schoolbook"/>
          <w:color w:val="auto"/>
          <w:sz w:val="27"/>
          <w:u w:color="FF0000"/>
        </w:rPr>
        <w:t>seeing</w:t>
      </w:r>
      <w:r w:rsidRPr="0052255D" w:rsidR="003977B6">
        <w:rPr>
          <w:rFonts w:ascii="Century Schoolbook" w:hAnsi="Century Schoolbook"/>
          <w:color w:val="auto"/>
          <w:sz w:val="27"/>
          <w:u w:color="FF0000"/>
        </w:rPr>
        <w:t xml:space="preserve"> </w:t>
      </w:r>
      <w:r w:rsidRPr="0052255D" w:rsidR="004D339B">
        <w:rPr>
          <w:rFonts w:ascii="Century Schoolbook" w:hAnsi="Century Schoolbook"/>
          <w:color w:val="auto"/>
          <w:sz w:val="27"/>
          <w:u w:color="FF0000"/>
        </w:rPr>
        <w:t>defendant’s dark forearm and his green-and-black flannel shirt inside the car</w:t>
      </w:r>
      <w:r w:rsidRPr="0052255D" w:rsidR="00D91EEF">
        <w:rPr>
          <w:rFonts w:ascii="Century Schoolbook" w:hAnsi="Century Schoolbook"/>
          <w:color w:val="auto"/>
          <w:sz w:val="27"/>
          <w:u w:color="FF0000"/>
        </w:rPr>
        <w:t xml:space="preserve"> and defendant’s gun pointed at him</w:t>
      </w:r>
      <w:r w:rsidRPr="0052255D" w:rsidR="00BC0A73">
        <w:rPr>
          <w:rFonts w:ascii="Century Schoolbook" w:hAnsi="Century Schoolbook"/>
          <w:color w:val="auto"/>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Masubayashi </w:t>
      </w:r>
      <w:r w:rsidRPr="0052255D" w:rsidR="00D91EEF">
        <w:rPr>
          <w:rFonts w:ascii="Century Schoolbook" w:hAnsi="Century Schoolbook"/>
          <w:color w:val="auto"/>
          <w:sz w:val="27"/>
          <w:u w:color="FF0000"/>
        </w:rPr>
        <w:t xml:space="preserve">dashed </w:t>
      </w:r>
      <w:r w:rsidRPr="0052255D" w:rsidR="00802D30">
        <w:rPr>
          <w:rFonts w:ascii="Century Schoolbook" w:hAnsi="Century Schoolbook"/>
          <w:color w:val="auto"/>
          <w:sz w:val="27"/>
          <w:u w:color="FF0000"/>
        </w:rPr>
        <w:t>out of the car</w:t>
      </w:r>
      <w:r w:rsidRPr="0052255D">
        <w:rPr>
          <w:rFonts w:ascii="Century Schoolbook" w:hAnsi="Century Schoolbook"/>
          <w:color w:val="auto"/>
          <w:sz w:val="27"/>
          <w:u w:color="FF0000"/>
        </w:rPr>
        <w:t xml:space="preserve"> </w:t>
      </w:r>
      <w:r w:rsidRPr="0052255D" w:rsidR="00802D30">
        <w:rPr>
          <w:rFonts w:ascii="Century Schoolbook" w:hAnsi="Century Schoolbook"/>
          <w:color w:val="auto"/>
          <w:sz w:val="27"/>
          <w:u w:color="FF0000"/>
        </w:rPr>
        <w:t xml:space="preserve">and ran </w:t>
      </w:r>
      <w:r w:rsidRPr="0052255D">
        <w:rPr>
          <w:rFonts w:ascii="Century Schoolbook" w:hAnsi="Century Schoolbook"/>
          <w:color w:val="auto"/>
          <w:sz w:val="27"/>
          <w:u w:color="FF0000"/>
        </w:rPr>
        <w:t xml:space="preserve">through the parking lot toward </w:t>
      </w:r>
      <w:r w:rsidRPr="0052255D" w:rsidR="00F31055">
        <w:rPr>
          <w:rFonts w:ascii="Century Schoolbook" w:hAnsi="Century Schoolbook"/>
          <w:color w:val="auto"/>
          <w:sz w:val="27"/>
          <w:u w:color="FF0000"/>
        </w:rPr>
        <w:t>a</w:t>
      </w:r>
      <w:r w:rsidRPr="0052255D">
        <w:rPr>
          <w:rFonts w:ascii="Century Schoolbook" w:hAnsi="Century Schoolbook"/>
          <w:color w:val="auto"/>
          <w:sz w:val="27"/>
          <w:u w:color="FF0000"/>
        </w:rPr>
        <w:t xml:space="preserve"> Jack</w:t>
      </w:r>
      <w:r w:rsidRPr="0052255D" w:rsidR="00E4739C">
        <w:rPr>
          <w:rFonts w:ascii="Century Schoolbook" w:hAnsi="Century Schoolbook"/>
          <w:color w:val="auto"/>
          <w:sz w:val="27"/>
          <w:u w:color="FF0000"/>
        </w:rPr>
        <w:t xml:space="preserve"> </w:t>
      </w:r>
      <w:r w:rsidRPr="0052255D" w:rsidR="004A145B">
        <w:rPr>
          <w:rFonts w:ascii="Century Schoolbook" w:hAnsi="Century Schoolbook"/>
          <w:color w:val="auto"/>
          <w:sz w:val="27"/>
          <w:u w:color="FF0000"/>
        </w:rPr>
        <w:t>i</w:t>
      </w:r>
      <w:r w:rsidRPr="0052255D">
        <w:rPr>
          <w:rFonts w:ascii="Century Schoolbook" w:hAnsi="Century Schoolbook"/>
          <w:color w:val="auto"/>
          <w:sz w:val="27"/>
          <w:u w:color="FF0000"/>
        </w:rPr>
        <w:t>n</w:t>
      </w:r>
      <w:r w:rsidRPr="0052255D" w:rsidR="00E4739C">
        <w:rPr>
          <w:rFonts w:ascii="Century Schoolbook" w:hAnsi="Century Schoolbook"/>
          <w:color w:val="auto"/>
          <w:sz w:val="27"/>
          <w:u w:color="FF0000"/>
        </w:rPr>
        <w:t xml:space="preserve"> </w:t>
      </w:r>
      <w:r w:rsidRPr="0052255D" w:rsidR="004A145B">
        <w:rPr>
          <w:rFonts w:ascii="Century Schoolbook" w:hAnsi="Century Schoolbook"/>
          <w:color w:val="auto"/>
          <w:sz w:val="27"/>
          <w:u w:color="FF0000"/>
        </w:rPr>
        <w:t>t</w:t>
      </w:r>
      <w:r w:rsidRPr="0052255D">
        <w:rPr>
          <w:rFonts w:ascii="Century Schoolbook" w:hAnsi="Century Schoolbook"/>
          <w:color w:val="auto"/>
          <w:sz w:val="27"/>
          <w:u w:color="FF0000"/>
        </w:rPr>
        <w:t>he</w:t>
      </w:r>
      <w:r w:rsidRPr="0052255D" w:rsidR="00E4739C">
        <w:rPr>
          <w:rFonts w:ascii="Century Schoolbook" w:hAnsi="Century Schoolbook"/>
          <w:color w:val="auto"/>
          <w:sz w:val="27"/>
          <w:u w:color="FF0000"/>
        </w:rPr>
        <w:t xml:space="preserve"> </w:t>
      </w:r>
      <w:r w:rsidRPr="0052255D">
        <w:rPr>
          <w:rFonts w:ascii="Century Schoolbook" w:hAnsi="Century Schoolbook"/>
          <w:color w:val="auto"/>
          <w:sz w:val="27"/>
          <w:u w:color="FF0000"/>
        </w:rPr>
        <w:t>Box</w:t>
      </w:r>
      <w:r w:rsidRPr="0052255D" w:rsidR="00E4739C">
        <w:rPr>
          <w:rFonts w:ascii="Century Schoolbook" w:hAnsi="Century Schoolbook"/>
          <w:color w:val="auto"/>
          <w:sz w:val="27"/>
          <w:u w:color="FF0000"/>
        </w:rPr>
        <w:t xml:space="preserve"> restaurant</w:t>
      </w:r>
      <w:r w:rsidRPr="0052255D">
        <w:rPr>
          <w:rFonts w:ascii="Century Schoolbook" w:hAnsi="Century Schoolbook"/>
          <w:color w:val="auto"/>
          <w:sz w:val="27"/>
          <w:u w:color="FF0000"/>
        </w:rPr>
        <w:t xml:space="preserve">.  Defendant shot at Masubayashi </w:t>
      </w:r>
      <w:r w:rsidRPr="0052255D" w:rsidR="00B84AC2">
        <w:rPr>
          <w:rFonts w:ascii="Century Schoolbook" w:hAnsi="Century Schoolbook"/>
          <w:color w:val="auto"/>
          <w:sz w:val="27"/>
          <w:u w:color="FF0000"/>
        </w:rPr>
        <w:t>several</w:t>
      </w:r>
      <w:r w:rsidRPr="0052255D">
        <w:rPr>
          <w:rFonts w:ascii="Century Schoolbook" w:hAnsi="Century Schoolbook"/>
          <w:color w:val="auto"/>
          <w:sz w:val="27"/>
          <w:u w:color="FF0000"/>
        </w:rPr>
        <w:t xml:space="preserve"> more times.  </w:t>
      </w:r>
      <w:r w:rsidRPr="0052255D" w:rsidR="00777078">
        <w:rPr>
          <w:rFonts w:ascii="Century Schoolbook" w:hAnsi="Century Schoolbook"/>
          <w:color w:val="auto"/>
          <w:sz w:val="27"/>
          <w:u w:color="FF0000"/>
        </w:rPr>
        <w:t xml:space="preserve">Masubayashi </w:t>
      </w:r>
      <w:r w:rsidRPr="0052255D" w:rsidR="00BD4F82">
        <w:rPr>
          <w:rFonts w:ascii="Century Schoolbook" w:hAnsi="Century Schoolbook"/>
          <w:color w:val="auto"/>
          <w:sz w:val="27"/>
          <w:u w:color="FF0000"/>
        </w:rPr>
        <w:t>ran across the street</w:t>
      </w:r>
      <w:r w:rsidRPr="0052255D" w:rsidR="0060175F">
        <w:rPr>
          <w:rFonts w:ascii="Century Schoolbook" w:hAnsi="Century Schoolbook"/>
          <w:color w:val="auto"/>
          <w:sz w:val="27"/>
          <w:u w:color="FF0000"/>
        </w:rPr>
        <w:t xml:space="preserve"> as d</w:t>
      </w:r>
      <w:r w:rsidRPr="0052255D">
        <w:rPr>
          <w:rFonts w:ascii="Century Schoolbook" w:hAnsi="Century Schoolbook"/>
          <w:color w:val="auto"/>
          <w:sz w:val="27"/>
          <w:u w:color="FF0000"/>
        </w:rPr>
        <w:t xml:space="preserve">efendant and Carrillo </w:t>
      </w:r>
      <w:r w:rsidRPr="0052255D" w:rsidR="00B57F53">
        <w:rPr>
          <w:rFonts w:ascii="Century Schoolbook" w:hAnsi="Century Schoolbook"/>
          <w:color w:val="auto"/>
          <w:sz w:val="27"/>
          <w:u w:color="FF0000"/>
        </w:rPr>
        <w:t xml:space="preserve">climbed </w:t>
      </w:r>
      <w:r w:rsidRPr="0052255D">
        <w:rPr>
          <w:rFonts w:ascii="Century Schoolbook" w:hAnsi="Century Schoolbook"/>
          <w:color w:val="auto"/>
          <w:sz w:val="27"/>
          <w:u w:color="FF0000"/>
        </w:rPr>
        <w:t>into the backseat of the Jeep</w:t>
      </w:r>
      <w:r w:rsidRPr="0052255D" w:rsidR="00B57F53">
        <w:rPr>
          <w:rFonts w:ascii="Century Schoolbook" w:hAnsi="Century Schoolbook"/>
          <w:color w:val="auto"/>
          <w:sz w:val="27"/>
          <w:u w:color="FF0000"/>
        </w:rPr>
        <w:t xml:space="preserve">.  Lee </w:t>
      </w:r>
      <w:r w:rsidRPr="0052255D" w:rsidR="00CE37A3">
        <w:rPr>
          <w:rFonts w:ascii="Century Schoolbook" w:hAnsi="Century Schoolbook"/>
          <w:color w:val="auto"/>
          <w:sz w:val="27"/>
          <w:u w:color="FF0000"/>
        </w:rPr>
        <w:t xml:space="preserve">started </w:t>
      </w:r>
      <w:r w:rsidRPr="0052255D" w:rsidR="00B57F53">
        <w:rPr>
          <w:rFonts w:ascii="Century Schoolbook" w:hAnsi="Century Schoolbook"/>
          <w:color w:val="auto"/>
          <w:sz w:val="27"/>
          <w:u w:color="FF0000"/>
        </w:rPr>
        <w:t>the car</w:t>
      </w:r>
      <w:r w:rsidRPr="0052255D" w:rsidR="00CE37A3">
        <w:rPr>
          <w:rFonts w:ascii="Century Schoolbook" w:hAnsi="Century Schoolbook"/>
          <w:color w:val="auto"/>
          <w:sz w:val="27"/>
          <w:u w:color="FF0000"/>
        </w:rPr>
        <w:t xml:space="preserve"> and drove</w:t>
      </w:r>
      <w:r w:rsidRPr="0052255D" w:rsidR="00B57F53">
        <w:rPr>
          <w:rFonts w:ascii="Century Schoolbook" w:hAnsi="Century Schoolbook"/>
          <w:color w:val="auto"/>
          <w:sz w:val="27"/>
          <w:u w:color="FF0000"/>
        </w:rPr>
        <w:t xml:space="preserve"> </w:t>
      </w:r>
      <w:r w:rsidRPr="0052255D">
        <w:rPr>
          <w:rFonts w:ascii="Century Schoolbook" w:hAnsi="Century Schoolbook"/>
          <w:color w:val="auto"/>
          <w:sz w:val="27"/>
          <w:u w:color="FF0000"/>
        </w:rPr>
        <w:t>toward Masubayashi, saying</w:t>
      </w:r>
      <w:r w:rsidRPr="0052255D" w:rsidR="00CE37A3">
        <w:rPr>
          <w:rFonts w:ascii="Century Schoolbook" w:hAnsi="Century Schoolbook"/>
          <w:color w:val="auto"/>
          <w:sz w:val="27"/>
          <w:u w:color="FF0000"/>
        </w:rPr>
        <w:t>,</w:t>
      </w:r>
      <w:r w:rsidRPr="0052255D">
        <w:rPr>
          <w:rFonts w:ascii="Century Schoolbook" w:hAnsi="Century Schoolbook"/>
          <w:color w:val="auto"/>
          <w:sz w:val="27"/>
          <w:u w:color="FF0000"/>
        </w:rPr>
        <w:t xml:space="preserve"> “I’m going to run his ass over.”  Masubayashi hid behind a telephone pole, and Lee stopped the Jeep </w:t>
      </w:r>
      <w:r w:rsidRPr="0052255D" w:rsidR="00CC598E">
        <w:rPr>
          <w:rFonts w:ascii="Century Schoolbook" w:hAnsi="Century Schoolbook"/>
          <w:color w:val="auto"/>
          <w:sz w:val="27"/>
          <w:u w:color="FF0000"/>
        </w:rPr>
        <w:t xml:space="preserve">just </w:t>
      </w:r>
      <w:r w:rsidRPr="0052255D">
        <w:rPr>
          <w:rFonts w:ascii="Century Schoolbook" w:hAnsi="Century Schoolbook"/>
          <w:color w:val="auto"/>
          <w:sz w:val="27"/>
          <w:u w:color="FF0000"/>
        </w:rPr>
        <w:t xml:space="preserve">in front of it.  Masubayashi ran away from the Jeep and collapsed in the middle of </w:t>
      </w:r>
      <w:r w:rsidRPr="0052255D" w:rsidR="003C157F">
        <w:rPr>
          <w:rFonts w:ascii="Century Schoolbook" w:hAnsi="Century Schoolbook"/>
          <w:color w:val="auto"/>
          <w:sz w:val="27"/>
          <w:u w:color="FF0000"/>
        </w:rPr>
        <w:t>the</w:t>
      </w:r>
      <w:r w:rsidRPr="0052255D">
        <w:rPr>
          <w:rFonts w:ascii="Century Schoolbook" w:hAnsi="Century Schoolbook"/>
          <w:color w:val="auto"/>
          <w:sz w:val="27"/>
          <w:u w:color="FF0000"/>
        </w:rPr>
        <w:t xml:space="preserve"> </w:t>
      </w:r>
      <w:r w:rsidRPr="0052255D" w:rsidR="003C157F">
        <w:rPr>
          <w:rFonts w:ascii="Century Schoolbook" w:hAnsi="Century Schoolbook"/>
          <w:color w:val="auto"/>
          <w:sz w:val="27"/>
          <w:u w:color="FF0000"/>
        </w:rPr>
        <w:t>s</w:t>
      </w:r>
      <w:r w:rsidRPr="0052255D">
        <w:rPr>
          <w:rFonts w:ascii="Century Schoolbook" w:hAnsi="Century Schoolbook"/>
          <w:color w:val="auto"/>
          <w:sz w:val="27"/>
          <w:u w:color="FF0000"/>
        </w:rPr>
        <w:t xml:space="preserve">treet.  </w:t>
      </w:r>
      <w:r w:rsidRPr="0052255D" w:rsidR="00F04AAF">
        <w:rPr>
          <w:rFonts w:ascii="Century Schoolbook" w:hAnsi="Century Schoolbook"/>
          <w:color w:val="auto"/>
          <w:sz w:val="27"/>
          <w:u w:color="FF0000"/>
        </w:rPr>
        <w:t>Carrillo</w:t>
      </w:r>
      <w:r w:rsidRPr="0052255D" w:rsidR="00DF337D">
        <w:rPr>
          <w:rFonts w:ascii="Century Schoolbook" w:hAnsi="Century Schoolbook"/>
          <w:color w:val="auto"/>
          <w:sz w:val="27"/>
          <w:u w:color="FF0000"/>
        </w:rPr>
        <w:t xml:space="preserve"> </w:t>
      </w:r>
      <w:r w:rsidRPr="0052255D" w:rsidR="000B6700">
        <w:rPr>
          <w:rFonts w:ascii="Century Schoolbook" w:hAnsi="Century Schoolbook"/>
          <w:color w:val="auto"/>
          <w:sz w:val="27"/>
          <w:u w:color="FF0000"/>
        </w:rPr>
        <w:t>became aware of</w:t>
      </w:r>
      <w:r w:rsidRPr="0052255D" w:rsidR="00DF337D">
        <w:rPr>
          <w:rFonts w:ascii="Century Schoolbook" w:hAnsi="Century Schoolbook"/>
          <w:color w:val="auto"/>
          <w:sz w:val="27"/>
          <w:u w:color="FF0000"/>
        </w:rPr>
        <w:t xml:space="preserve"> </w:t>
      </w:r>
      <w:r w:rsidRPr="0052255D" w:rsidR="001F3405">
        <w:rPr>
          <w:rFonts w:ascii="Century Schoolbook" w:hAnsi="Century Schoolbook"/>
          <w:color w:val="auto"/>
          <w:sz w:val="27"/>
          <w:u w:color="FF0000"/>
        </w:rPr>
        <w:t xml:space="preserve">people </w:t>
      </w:r>
      <w:r w:rsidRPr="0052255D" w:rsidR="005F162B">
        <w:rPr>
          <w:rFonts w:ascii="Century Schoolbook" w:hAnsi="Century Schoolbook"/>
          <w:color w:val="auto"/>
          <w:sz w:val="27"/>
          <w:u w:color="FF0000"/>
        </w:rPr>
        <w:t xml:space="preserve">watching </w:t>
      </w:r>
      <w:r w:rsidRPr="0052255D" w:rsidR="001F3405">
        <w:rPr>
          <w:rFonts w:ascii="Century Schoolbook" w:hAnsi="Century Schoolbook"/>
          <w:color w:val="auto"/>
          <w:sz w:val="27"/>
          <w:u w:color="FF0000"/>
        </w:rPr>
        <w:t xml:space="preserve">in front of a nearby restaurant and saw a uniformed security guard nearby.  </w:t>
      </w:r>
      <w:r w:rsidRPr="0052255D">
        <w:rPr>
          <w:rFonts w:ascii="Century Schoolbook" w:hAnsi="Century Schoolbook"/>
          <w:color w:val="auto"/>
          <w:sz w:val="27"/>
          <w:u w:color="FF0000"/>
        </w:rPr>
        <w:t xml:space="preserve">Defendant </w:t>
      </w:r>
      <w:r w:rsidRPr="0052255D" w:rsidR="00BD4948">
        <w:rPr>
          <w:rFonts w:ascii="Century Schoolbook" w:hAnsi="Century Schoolbook"/>
          <w:color w:val="auto"/>
          <w:sz w:val="27"/>
          <w:u w:color="FF0000"/>
        </w:rPr>
        <w:t>told Lee to let him</w:t>
      </w:r>
      <w:r w:rsidRPr="0052255D">
        <w:rPr>
          <w:rFonts w:ascii="Century Schoolbook" w:hAnsi="Century Schoolbook"/>
          <w:color w:val="auto"/>
          <w:sz w:val="27"/>
          <w:u w:color="FF0000"/>
        </w:rPr>
        <w:t xml:space="preserve"> out of the </w:t>
      </w:r>
      <w:r w:rsidRPr="0052255D" w:rsidR="00BD4948">
        <w:rPr>
          <w:rFonts w:ascii="Century Schoolbook" w:hAnsi="Century Schoolbook"/>
          <w:color w:val="auto"/>
          <w:sz w:val="27"/>
          <w:u w:color="FF0000"/>
        </w:rPr>
        <w:t xml:space="preserve">Jeep </w:t>
      </w:r>
      <w:r w:rsidRPr="0052255D">
        <w:rPr>
          <w:rFonts w:ascii="Century Schoolbook" w:hAnsi="Century Schoolbook"/>
          <w:color w:val="auto"/>
          <w:sz w:val="27"/>
          <w:u w:color="FF0000"/>
        </w:rPr>
        <w:t xml:space="preserve">so he could “finish </w:t>
      </w:r>
      <w:r w:rsidRPr="0052255D" w:rsidR="00BD4948">
        <w:rPr>
          <w:rFonts w:ascii="Century Schoolbook" w:hAnsi="Century Schoolbook"/>
          <w:color w:val="auto"/>
          <w:sz w:val="27"/>
          <w:u w:color="FF0000"/>
        </w:rPr>
        <w:t xml:space="preserve">John </w:t>
      </w:r>
      <w:r w:rsidRPr="0052255D">
        <w:rPr>
          <w:rFonts w:ascii="Century Schoolbook" w:hAnsi="Century Schoolbook"/>
          <w:color w:val="auto"/>
          <w:sz w:val="27"/>
          <w:u w:color="FF0000"/>
        </w:rPr>
        <w:t>off</w:t>
      </w:r>
      <w:r w:rsidRPr="0052255D" w:rsidR="00BD4948">
        <w:rPr>
          <w:rFonts w:ascii="Century Schoolbook" w:hAnsi="Century Schoolbook"/>
          <w:color w:val="auto"/>
          <w:sz w:val="27"/>
          <w:u w:color="FF0000"/>
        </w:rPr>
        <w:t>.</w:t>
      </w:r>
      <w:r w:rsidRPr="0052255D">
        <w:rPr>
          <w:rFonts w:ascii="Century Schoolbook" w:hAnsi="Century Schoolbook"/>
          <w:color w:val="auto"/>
          <w:sz w:val="27"/>
          <w:u w:color="FF0000"/>
        </w:rPr>
        <w:t xml:space="preserve">”  </w:t>
      </w:r>
      <w:r w:rsidRPr="0052255D" w:rsidR="002126AA">
        <w:rPr>
          <w:rFonts w:ascii="Century Schoolbook" w:hAnsi="Century Schoolbook"/>
          <w:color w:val="auto"/>
          <w:sz w:val="27"/>
          <w:u w:color="FF0000"/>
        </w:rPr>
        <w:t xml:space="preserve">Defendant </w:t>
      </w:r>
      <w:r w:rsidRPr="0052255D" w:rsidR="00F62AAC">
        <w:rPr>
          <w:rFonts w:ascii="Century Schoolbook" w:hAnsi="Century Schoolbook"/>
          <w:color w:val="auto"/>
          <w:sz w:val="27"/>
          <w:u w:color="FF0000"/>
        </w:rPr>
        <w:t xml:space="preserve">got out of the Jeep and walked toward Masubayashi.  </w:t>
      </w:r>
      <w:r w:rsidRPr="0052255D" w:rsidR="000E6ED2">
        <w:rPr>
          <w:rFonts w:ascii="Century Schoolbook" w:hAnsi="Century Schoolbook"/>
          <w:color w:val="auto"/>
          <w:sz w:val="27"/>
          <w:u w:color="FF0000"/>
        </w:rPr>
        <w:t xml:space="preserve">Lee, Chung, and Carrillo drove off.  </w:t>
      </w:r>
    </w:p>
    <w:p w:rsidR="00496323"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A restaurant patron and </w:t>
      </w:r>
      <w:r w:rsidRPr="0052255D" w:rsidR="00DA56A7">
        <w:rPr>
          <w:rFonts w:ascii="Century Schoolbook" w:hAnsi="Century Schoolbook"/>
          <w:color w:val="auto"/>
          <w:sz w:val="27"/>
          <w:u w:color="FF0000"/>
        </w:rPr>
        <w:t xml:space="preserve">private security guard noticed Masubayashi lying in the street and stopped to help him.  </w:t>
      </w:r>
      <w:r w:rsidRPr="0052255D" w:rsidR="0011561F">
        <w:rPr>
          <w:rFonts w:ascii="Century Schoolbook" w:hAnsi="Century Schoolbook"/>
          <w:color w:val="auto"/>
          <w:sz w:val="27"/>
          <w:u w:color="FF0000"/>
        </w:rPr>
        <w:t xml:space="preserve">Police </w:t>
      </w:r>
      <w:r w:rsidRPr="0052255D" w:rsidR="00071A66">
        <w:rPr>
          <w:rFonts w:ascii="Century Schoolbook" w:hAnsi="Century Schoolbook"/>
          <w:color w:val="auto"/>
          <w:sz w:val="27"/>
          <w:u w:color="FF0000"/>
        </w:rPr>
        <w:t>o</w:t>
      </w:r>
      <w:r w:rsidRPr="0052255D" w:rsidR="0011561F">
        <w:rPr>
          <w:rFonts w:ascii="Century Schoolbook" w:hAnsi="Century Schoolbook"/>
          <w:color w:val="auto"/>
          <w:sz w:val="27"/>
          <w:u w:color="FF0000"/>
        </w:rPr>
        <w:t>fficer</w:t>
      </w:r>
      <w:r w:rsidRPr="0052255D" w:rsidR="00071A66">
        <w:rPr>
          <w:rFonts w:ascii="Century Schoolbook" w:hAnsi="Century Schoolbook"/>
          <w:color w:val="auto"/>
          <w:sz w:val="27"/>
          <w:u w:color="FF0000"/>
        </w:rPr>
        <w:t xml:space="preserve">s </w:t>
      </w:r>
      <w:r w:rsidRPr="0052255D" w:rsidR="0011561F">
        <w:rPr>
          <w:rFonts w:ascii="Century Schoolbook" w:hAnsi="Century Schoolbook"/>
          <w:color w:val="auto"/>
          <w:sz w:val="27"/>
          <w:u w:color="FF0000"/>
        </w:rPr>
        <w:t xml:space="preserve">arrived at the scene </w:t>
      </w:r>
      <w:r w:rsidRPr="0052255D" w:rsidR="00071A66">
        <w:rPr>
          <w:rFonts w:ascii="Century Schoolbook" w:hAnsi="Century Schoolbook"/>
          <w:color w:val="auto"/>
          <w:sz w:val="27"/>
          <w:u w:color="FF0000"/>
        </w:rPr>
        <w:t>shortly thereafter</w:t>
      </w:r>
      <w:r w:rsidRPr="0052255D" w:rsidR="0011561F">
        <w:rPr>
          <w:rFonts w:ascii="Century Schoolbook" w:hAnsi="Century Schoolbook"/>
          <w:color w:val="auto"/>
          <w:sz w:val="27"/>
          <w:u w:color="FF0000"/>
        </w:rPr>
        <w:t xml:space="preserve"> and found Masubayashi lying on his back in the middle of </w:t>
      </w:r>
      <w:r w:rsidRPr="0052255D" w:rsidR="00695F7E">
        <w:rPr>
          <w:rFonts w:ascii="Century Schoolbook" w:hAnsi="Century Schoolbook"/>
          <w:color w:val="auto"/>
          <w:sz w:val="27"/>
          <w:u w:color="FF0000"/>
        </w:rPr>
        <w:t>the</w:t>
      </w:r>
      <w:r w:rsidRPr="0052255D" w:rsidR="0011561F">
        <w:rPr>
          <w:rFonts w:ascii="Century Schoolbook" w:hAnsi="Century Schoolbook"/>
          <w:color w:val="auto"/>
          <w:sz w:val="27"/>
          <w:u w:color="FF0000"/>
        </w:rPr>
        <w:t xml:space="preserve"> </w:t>
      </w:r>
      <w:r w:rsidRPr="0052255D" w:rsidR="00715F7B">
        <w:rPr>
          <w:rFonts w:ascii="Century Schoolbook" w:hAnsi="Century Schoolbook"/>
          <w:color w:val="auto"/>
          <w:sz w:val="27"/>
          <w:u w:color="FF0000"/>
        </w:rPr>
        <w:t>s</w:t>
      </w:r>
      <w:r w:rsidRPr="0052255D" w:rsidR="0011561F">
        <w:rPr>
          <w:rFonts w:ascii="Century Schoolbook" w:hAnsi="Century Schoolbook"/>
          <w:color w:val="auto"/>
          <w:sz w:val="27"/>
          <w:u w:color="FF0000"/>
        </w:rPr>
        <w:t>treet</w:t>
      </w:r>
      <w:r w:rsidRPr="0052255D" w:rsidR="00715F7B">
        <w:rPr>
          <w:rFonts w:ascii="Century Schoolbook" w:hAnsi="Century Schoolbook"/>
          <w:color w:val="auto"/>
          <w:sz w:val="27"/>
          <w:u w:color="FF0000"/>
        </w:rPr>
        <w:t xml:space="preserve"> with a gunshot wound to his chest</w:t>
      </w:r>
      <w:r w:rsidRPr="0052255D" w:rsidR="0011561F">
        <w:rPr>
          <w:rFonts w:ascii="Century Schoolbook" w:hAnsi="Century Schoolbook"/>
          <w:color w:val="auto"/>
          <w:sz w:val="27"/>
          <w:u w:color="FF0000"/>
        </w:rPr>
        <w:t xml:space="preserve">.  </w:t>
      </w:r>
      <w:r w:rsidRPr="0052255D" w:rsidR="009A2C01">
        <w:rPr>
          <w:rFonts w:ascii="Century Schoolbook" w:hAnsi="Century Schoolbook"/>
          <w:color w:val="auto"/>
          <w:sz w:val="27"/>
          <w:u w:color="FF0000"/>
        </w:rPr>
        <w:t>Masubayashi was taken to</w:t>
      </w:r>
      <w:r w:rsidRPr="0052255D" w:rsidR="0011561F">
        <w:rPr>
          <w:rFonts w:ascii="Century Schoolbook" w:hAnsi="Century Schoolbook"/>
          <w:color w:val="auto"/>
          <w:sz w:val="27"/>
          <w:u w:color="FF0000"/>
        </w:rPr>
        <w:t xml:space="preserve"> the hospital, </w:t>
      </w:r>
      <w:r w:rsidRPr="0052255D" w:rsidR="009A2C01">
        <w:rPr>
          <w:rFonts w:ascii="Century Schoolbook" w:hAnsi="Century Schoolbook"/>
          <w:color w:val="auto"/>
          <w:sz w:val="27"/>
          <w:u w:color="FF0000"/>
        </w:rPr>
        <w:t>where he</w:t>
      </w:r>
      <w:r w:rsidRPr="0052255D" w:rsidR="0011561F">
        <w:rPr>
          <w:rFonts w:ascii="Century Schoolbook" w:hAnsi="Century Schoolbook"/>
          <w:color w:val="auto"/>
          <w:sz w:val="27"/>
          <w:u w:color="FF0000"/>
        </w:rPr>
        <w:t xml:space="preserve"> told </w:t>
      </w:r>
      <w:r w:rsidRPr="0052255D" w:rsidR="009E0503">
        <w:rPr>
          <w:rFonts w:ascii="Century Schoolbook" w:hAnsi="Century Schoolbook"/>
          <w:color w:val="auto"/>
          <w:sz w:val="27"/>
          <w:u w:color="FF0000"/>
        </w:rPr>
        <w:t>police officers</w:t>
      </w:r>
      <w:r w:rsidRPr="0052255D" w:rsidR="0011561F">
        <w:rPr>
          <w:rFonts w:ascii="Century Schoolbook" w:hAnsi="Century Schoolbook"/>
          <w:color w:val="auto"/>
          <w:sz w:val="27"/>
          <w:u w:color="FF0000"/>
        </w:rPr>
        <w:t xml:space="preserve"> that defendant had shot him and Johnson.</w:t>
      </w:r>
      <w:r w:rsidRPr="0052255D" w:rsidR="0011561F">
        <w:rPr>
          <w:rFonts w:ascii="Century Schoolbook" w:hAnsi="Century Schoolbook"/>
          <w:color w:val="000000" w:themeColor="text1"/>
          <w:sz w:val="27"/>
          <w:u w:color="FF0000"/>
        </w:rPr>
        <w:t xml:space="preserve">  </w:t>
      </w:r>
      <w:r w:rsidRPr="0052255D">
        <w:rPr>
          <w:rFonts w:ascii="Century Schoolbook" w:hAnsi="Century Schoolbook"/>
          <w:sz w:val="27"/>
        </w:rPr>
        <w:t xml:space="preserve">A forensic pathologist who performed an autopsy on Johnson testified that Johnson died from a close range gunshot wound to his neck and brain. </w:t>
      </w:r>
      <w:r w:rsidRPr="0052255D">
        <w:rPr>
          <w:rFonts w:ascii="Century Schoolbook" w:hAnsi="Century Schoolbook"/>
          <w:color w:val="000000" w:themeColor="text1"/>
          <w:sz w:val="27"/>
        </w:rPr>
        <w:t xml:space="preserve"> </w:t>
      </w:r>
      <w:r w:rsidR="002C5920">
        <w:rPr>
          <w:rFonts w:ascii="Century Schoolbook" w:hAnsi="Century Schoolbook"/>
          <w:color w:val="000000" w:themeColor="text1"/>
          <w:sz w:val="27"/>
        </w:rPr>
        <w:t xml:space="preserve">An analysis of bullets and fragments indicated the </w:t>
      </w:r>
      <w:r w:rsidR="005D3804">
        <w:rPr>
          <w:rFonts w:ascii="Century Schoolbook" w:hAnsi="Century Schoolbook"/>
          <w:color w:val="000000" w:themeColor="text1"/>
          <w:sz w:val="27"/>
        </w:rPr>
        <w:t xml:space="preserve">shots were fired from either a .38 special or .357 magnum </w:t>
      </w:r>
      <w:r w:rsidR="00867015">
        <w:rPr>
          <w:rFonts w:ascii="Century Schoolbook" w:hAnsi="Century Schoolbook"/>
          <w:color w:val="000000" w:themeColor="text1"/>
          <w:sz w:val="27"/>
        </w:rPr>
        <w:t>handgun</w:t>
      </w:r>
      <w:r w:rsidR="005D3804">
        <w:rPr>
          <w:rFonts w:ascii="Century Schoolbook" w:hAnsi="Century Schoolbook"/>
          <w:color w:val="000000" w:themeColor="text1"/>
          <w:sz w:val="27"/>
        </w:rPr>
        <w:t>.</w:t>
      </w:r>
    </w:p>
    <w:p w:rsidR="00362F2E" w:rsidRPr="0052255D" w:rsidP="0052255D">
      <w:pPr>
        <w:tabs>
          <w:tab w:val="left" w:pos="1440"/>
        </w:tabs>
        <w:ind w:firstLine="720"/>
      </w:pPr>
      <w:r w:rsidRPr="0052255D">
        <w:rPr>
          <w:u w:color="FF0000"/>
        </w:rPr>
        <w:t>Two eyewitnesses</w:t>
      </w:r>
      <w:r w:rsidR="008C2597">
        <w:rPr>
          <w:u w:color="FF0000"/>
        </w:rPr>
        <w:t> </w:t>
      </w:r>
      <w:r w:rsidRPr="0052255D">
        <w:rPr>
          <w:u w:color="FF0000"/>
        </w:rPr>
        <w:t xml:space="preserve">— </w:t>
      </w:r>
      <w:r w:rsidRPr="0052255D" w:rsidR="00EB5556">
        <w:rPr>
          <w:u w:color="FF0000"/>
        </w:rPr>
        <w:t>Jose Rodriguez and John Fowler</w:t>
      </w:r>
      <w:r w:rsidR="00E301F5">
        <w:rPr>
          <w:u w:color="FF0000"/>
        </w:rPr>
        <w:t> </w:t>
      </w:r>
      <w:r w:rsidRPr="0052255D">
        <w:rPr>
          <w:u w:color="FF0000"/>
        </w:rPr>
        <w:t xml:space="preserve">— testified regarding </w:t>
      </w:r>
      <w:r w:rsidRPr="0052255D" w:rsidR="00E4739C">
        <w:rPr>
          <w:u w:color="FF0000"/>
        </w:rPr>
        <w:t>their observations</w:t>
      </w:r>
      <w:r w:rsidRPr="0052255D" w:rsidR="00EB5556">
        <w:rPr>
          <w:u w:color="FF0000"/>
        </w:rPr>
        <w:t xml:space="preserve">.  </w:t>
      </w:r>
      <w:r w:rsidRPr="0052255D" w:rsidR="00935F61">
        <w:rPr>
          <w:u w:color="FF0000"/>
        </w:rPr>
        <w:t>In the early morning hours of November 12, 1997, Rodriguez, Fowler, and Matt</w:t>
      </w:r>
      <w:r w:rsidRPr="0052255D" w:rsidR="00C60607">
        <w:rPr>
          <w:u w:color="FF0000"/>
        </w:rPr>
        <w:t>hew</w:t>
      </w:r>
      <w:r w:rsidRPr="0052255D" w:rsidR="00935F61">
        <w:rPr>
          <w:u w:color="FF0000"/>
        </w:rPr>
        <w:t xml:space="preserve"> Towne</w:t>
      </w:r>
      <w:r>
        <w:rPr>
          <w:rStyle w:val="FootnoteReference"/>
          <w:u w:color="FF0000"/>
        </w:rPr>
        <w:footnoteReference w:id="4"/>
      </w:r>
      <w:r w:rsidRPr="0052255D" w:rsidR="00935F61">
        <w:rPr>
          <w:u w:color="FF0000"/>
        </w:rPr>
        <w:t xml:space="preserve"> were seated on a bench outside the Gateway Urgent Care Clinic </w:t>
      </w:r>
      <w:r w:rsidRPr="0052255D" w:rsidR="007333C0">
        <w:rPr>
          <w:u w:color="FF0000"/>
        </w:rPr>
        <w:t xml:space="preserve">in </w:t>
      </w:r>
      <w:r w:rsidRPr="0052255D" w:rsidR="00C54F7E">
        <w:rPr>
          <w:u w:color="FF0000"/>
        </w:rPr>
        <w:t xml:space="preserve">Anaheim </w:t>
      </w:r>
      <w:r w:rsidRPr="0052255D" w:rsidR="00935F61">
        <w:rPr>
          <w:u w:color="FF0000"/>
        </w:rPr>
        <w:t xml:space="preserve">when they heard what sounded like a car backfiring.  Rodriguez took a few steps </w:t>
      </w:r>
      <w:r w:rsidRPr="0052255D" w:rsidR="00CC2F5A">
        <w:rPr>
          <w:u w:color="FF0000"/>
        </w:rPr>
        <w:t xml:space="preserve">forward </w:t>
      </w:r>
      <w:r w:rsidRPr="0052255D" w:rsidR="00935F61">
        <w:rPr>
          <w:u w:color="FF0000"/>
        </w:rPr>
        <w:t xml:space="preserve">and peered around </w:t>
      </w:r>
      <w:r w:rsidRPr="0052255D" w:rsidR="0075254D">
        <w:rPr>
          <w:u w:color="FF0000"/>
        </w:rPr>
        <w:t xml:space="preserve">the side of </w:t>
      </w:r>
      <w:r w:rsidRPr="0052255D" w:rsidR="00935F61">
        <w:rPr>
          <w:u w:color="FF0000"/>
        </w:rPr>
        <w:t>a brick wall.</w:t>
      </w:r>
      <w:r w:rsidRPr="0052255D" w:rsidR="00935F61">
        <w:rPr>
          <w:color w:val="000000" w:themeColor="text1"/>
          <w:u w:color="FF0000"/>
        </w:rPr>
        <w:t xml:space="preserve">  </w:t>
      </w:r>
      <w:r w:rsidRPr="0052255D" w:rsidR="00B94C13">
        <w:rPr>
          <w:u w:color="FF0000"/>
        </w:rPr>
        <w:t>H</w:t>
      </w:r>
      <w:r w:rsidRPr="0052255D" w:rsidR="00935F61">
        <w:rPr>
          <w:u w:color="FF0000"/>
        </w:rPr>
        <w:t xml:space="preserve">e saw the profile of a man </w:t>
      </w:r>
      <w:r w:rsidRPr="0052255D" w:rsidR="00B94C13">
        <w:rPr>
          <w:u w:color="FF0000"/>
        </w:rPr>
        <w:t xml:space="preserve">approximately 50 feet away </w:t>
      </w:r>
      <w:r w:rsidRPr="0052255D" w:rsidR="00811AEC">
        <w:rPr>
          <w:u w:color="FF0000"/>
        </w:rPr>
        <w:t xml:space="preserve">in a dark parking lot </w:t>
      </w:r>
      <w:r w:rsidRPr="0052255D" w:rsidR="00935F61">
        <w:rPr>
          <w:u w:color="FF0000"/>
        </w:rPr>
        <w:t>firing a gun in the direction of the Jack</w:t>
      </w:r>
      <w:r w:rsidRPr="0052255D" w:rsidR="00E4739C">
        <w:rPr>
          <w:u w:color="FF0000"/>
        </w:rPr>
        <w:t xml:space="preserve"> </w:t>
      </w:r>
      <w:r w:rsidRPr="0052255D" w:rsidR="004A145B">
        <w:rPr>
          <w:u w:color="FF0000"/>
        </w:rPr>
        <w:t>i</w:t>
      </w:r>
      <w:r w:rsidRPr="0052255D" w:rsidR="00935F61">
        <w:rPr>
          <w:u w:color="FF0000"/>
        </w:rPr>
        <w:t>n</w:t>
      </w:r>
      <w:r w:rsidRPr="0052255D" w:rsidR="00E4739C">
        <w:rPr>
          <w:u w:color="FF0000"/>
        </w:rPr>
        <w:t xml:space="preserve"> </w:t>
      </w:r>
      <w:r w:rsidRPr="0052255D" w:rsidR="004A145B">
        <w:rPr>
          <w:u w:color="FF0000"/>
        </w:rPr>
        <w:t>t</w:t>
      </w:r>
      <w:r w:rsidRPr="0052255D" w:rsidR="00935F61">
        <w:rPr>
          <w:u w:color="FF0000"/>
        </w:rPr>
        <w:t>he</w:t>
      </w:r>
      <w:r w:rsidRPr="0052255D" w:rsidR="00E4739C">
        <w:rPr>
          <w:u w:color="FF0000"/>
        </w:rPr>
        <w:t xml:space="preserve"> </w:t>
      </w:r>
      <w:r w:rsidRPr="0052255D" w:rsidR="00935F61">
        <w:rPr>
          <w:u w:color="FF0000"/>
        </w:rPr>
        <w:t>Box</w:t>
      </w:r>
      <w:r w:rsidRPr="003A7A44" w:rsidR="00935F61">
        <w:rPr>
          <w:color w:val="000000" w:themeColor="text1"/>
          <w:u w:color="FF0000"/>
        </w:rPr>
        <w:t>.  R</w:t>
      </w:r>
      <w:r w:rsidRPr="0052255D" w:rsidR="00935F61">
        <w:rPr>
          <w:u w:color="FF0000"/>
        </w:rPr>
        <w:t>odriguez described the shooter</w:t>
      </w:r>
      <w:r w:rsidRPr="0052255D" w:rsidR="003761DA">
        <w:rPr>
          <w:u w:color="FF0000"/>
        </w:rPr>
        <w:t xml:space="preserve"> as</w:t>
      </w:r>
      <w:r w:rsidRPr="0052255D" w:rsidR="00935F61">
        <w:rPr>
          <w:u w:color="FF0000"/>
        </w:rPr>
        <w:t xml:space="preserve"> </w:t>
      </w:r>
      <w:r w:rsidRPr="0052255D" w:rsidR="00456573">
        <w:rPr>
          <w:u w:color="FF0000"/>
        </w:rPr>
        <w:t xml:space="preserve">a Black male, </w:t>
      </w:r>
      <w:r w:rsidRPr="0052255D" w:rsidR="00935F61">
        <w:rPr>
          <w:u w:color="FF0000"/>
        </w:rPr>
        <w:t xml:space="preserve">approximately 25 years old, about six feet tall, </w:t>
      </w:r>
      <w:r w:rsidRPr="0052255D" w:rsidR="003761DA">
        <w:rPr>
          <w:u w:color="FF0000"/>
        </w:rPr>
        <w:t xml:space="preserve">heavyset, </w:t>
      </w:r>
      <w:r w:rsidRPr="0052255D" w:rsidR="00935F61">
        <w:rPr>
          <w:u w:color="FF0000"/>
        </w:rPr>
        <w:t xml:space="preserve">and wearing dark </w:t>
      </w:r>
      <w:r w:rsidRPr="0052255D" w:rsidR="00187EA0">
        <w:rPr>
          <w:u w:color="FF0000"/>
        </w:rPr>
        <w:t>clothing</w:t>
      </w:r>
      <w:r w:rsidRPr="0052255D" w:rsidR="00935F61">
        <w:rPr>
          <w:u w:color="FF0000"/>
        </w:rPr>
        <w:t>.  Fowler looked around the side of the brick wall and</w:t>
      </w:r>
      <w:r w:rsidRPr="0052255D" w:rsidR="002F1EF4">
        <w:rPr>
          <w:u w:color="FF0000"/>
        </w:rPr>
        <w:t xml:space="preserve"> </w:t>
      </w:r>
      <w:r w:rsidRPr="0052255D" w:rsidR="00811AEC">
        <w:rPr>
          <w:u w:color="FF0000"/>
        </w:rPr>
        <w:t>noticed</w:t>
      </w:r>
      <w:r w:rsidRPr="0052255D" w:rsidR="002F1EF4">
        <w:rPr>
          <w:u w:color="FF0000"/>
        </w:rPr>
        <w:t xml:space="preserve"> a </w:t>
      </w:r>
      <w:r w:rsidRPr="0052255D" w:rsidR="0009644E">
        <w:rPr>
          <w:u w:color="FF0000"/>
        </w:rPr>
        <w:t xml:space="preserve">black </w:t>
      </w:r>
      <w:r w:rsidRPr="0052255D" w:rsidR="002F1EF4">
        <w:rPr>
          <w:u w:color="FF0000"/>
        </w:rPr>
        <w:t xml:space="preserve">car </w:t>
      </w:r>
      <w:r w:rsidRPr="0052255D" w:rsidR="000E4259">
        <w:rPr>
          <w:u w:color="FF0000"/>
        </w:rPr>
        <w:t xml:space="preserve">parked </w:t>
      </w:r>
      <w:r w:rsidRPr="0052255D" w:rsidR="002F1EF4">
        <w:rPr>
          <w:u w:color="FF0000"/>
        </w:rPr>
        <w:t xml:space="preserve">with the engine running.  </w:t>
      </w:r>
      <w:r w:rsidRPr="0052255D" w:rsidR="00811AEC">
        <w:rPr>
          <w:u w:color="FF0000"/>
        </w:rPr>
        <w:t>He also</w:t>
      </w:r>
      <w:r w:rsidRPr="0052255D" w:rsidR="00935F61">
        <w:rPr>
          <w:u w:color="FF0000"/>
        </w:rPr>
        <w:t xml:space="preserve"> saw the silhouette of a man walking across </w:t>
      </w:r>
      <w:r w:rsidRPr="0052255D" w:rsidR="00296454">
        <w:rPr>
          <w:u w:color="FF0000"/>
        </w:rPr>
        <w:t>the</w:t>
      </w:r>
      <w:r w:rsidRPr="0052255D" w:rsidR="00C47724">
        <w:rPr>
          <w:u w:color="FF0000"/>
        </w:rPr>
        <w:t xml:space="preserve"> </w:t>
      </w:r>
      <w:r w:rsidRPr="0052255D" w:rsidR="00935F61">
        <w:rPr>
          <w:u w:color="FF0000"/>
        </w:rPr>
        <w:t>parking lot toward the Jack</w:t>
      </w:r>
      <w:r w:rsidRPr="0052255D" w:rsidR="004A145B">
        <w:rPr>
          <w:u w:color="FF0000"/>
        </w:rPr>
        <w:t xml:space="preserve"> i</w:t>
      </w:r>
      <w:r w:rsidRPr="0052255D" w:rsidR="00935F61">
        <w:rPr>
          <w:u w:color="FF0000"/>
        </w:rPr>
        <w:t>n</w:t>
      </w:r>
      <w:r w:rsidRPr="0052255D" w:rsidR="004A145B">
        <w:rPr>
          <w:u w:color="FF0000"/>
        </w:rPr>
        <w:t xml:space="preserve"> t</w:t>
      </w:r>
      <w:r w:rsidRPr="0052255D" w:rsidR="00935F61">
        <w:rPr>
          <w:u w:color="FF0000"/>
        </w:rPr>
        <w:t>he</w:t>
      </w:r>
      <w:r w:rsidRPr="0052255D" w:rsidR="004A145B">
        <w:rPr>
          <w:u w:color="FF0000"/>
        </w:rPr>
        <w:t xml:space="preserve"> </w:t>
      </w:r>
      <w:r w:rsidRPr="0052255D" w:rsidR="00935F61">
        <w:rPr>
          <w:u w:color="FF0000"/>
        </w:rPr>
        <w:t xml:space="preserve">Box and firing a gun.  </w:t>
      </w:r>
      <w:r w:rsidRPr="0052255D" w:rsidR="00D72240">
        <w:rPr>
          <w:u w:color="FF0000"/>
        </w:rPr>
        <w:t>H</w:t>
      </w:r>
      <w:r w:rsidRPr="0052255D" w:rsidR="00935F61">
        <w:rPr>
          <w:u w:color="FF0000"/>
        </w:rPr>
        <w:t>e described the shooter as possibly African-American, approximately five feet</w:t>
      </w:r>
      <w:r w:rsidR="00044238">
        <w:rPr>
          <w:u w:color="FF0000"/>
        </w:rPr>
        <w:t xml:space="preserve"> and</w:t>
      </w:r>
      <w:r w:rsidRPr="0052255D" w:rsidR="00935F61">
        <w:rPr>
          <w:u w:color="FF0000"/>
        </w:rPr>
        <w:t xml:space="preserve"> ten inches tall, thin to medium build, and possibly wearing a beanie.  </w:t>
      </w:r>
      <w:r w:rsidRPr="0052255D" w:rsidR="00D72240">
        <w:rPr>
          <w:u w:color="FF0000"/>
        </w:rPr>
        <w:t xml:space="preserve">However, Fowler also emphasized at trial that </w:t>
      </w:r>
      <w:r w:rsidRPr="0052255D" w:rsidR="000F7E56">
        <w:rPr>
          <w:u w:color="FF0000"/>
        </w:rPr>
        <w:t>it was dark</w:t>
      </w:r>
      <w:r w:rsidRPr="0052255D" w:rsidR="00763046">
        <w:rPr>
          <w:u w:color="FF0000"/>
        </w:rPr>
        <w:t xml:space="preserve"> and </w:t>
      </w:r>
      <w:r w:rsidR="0032619B">
        <w:rPr>
          <w:u w:color="FF0000"/>
        </w:rPr>
        <w:t xml:space="preserve">difficult </w:t>
      </w:r>
      <w:r w:rsidRPr="0052255D" w:rsidR="00763046">
        <w:rPr>
          <w:u w:color="FF0000"/>
        </w:rPr>
        <w:t>to determine how big the shooter was</w:t>
      </w:r>
      <w:r w:rsidRPr="0052255D" w:rsidR="000F7E56">
        <w:rPr>
          <w:u w:color="FF0000"/>
        </w:rPr>
        <w:t xml:space="preserve">, and </w:t>
      </w:r>
      <w:r w:rsidRPr="0052255D" w:rsidR="00763046">
        <w:rPr>
          <w:u w:color="FF0000"/>
        </w:rPr>
        <w:t xml:space="preserve">that </w:t>
      </w:r>
      <w:r w:rsidRPr="0052255D" w:rsidR="001E7CA6">
        <w:rPr>
          <w:u w:color="FF0000"/>
        </w:rPr>
        <w:t xml:space="preserve">he </w:t>
      </w:r>
      <w:r w:rsidR="00DA4DBB">
        <w:rPr>
          <w:u w:color="FF0000"/>
        </w:rPr>
        <w:t xml:space="preserve">simply </w:t>
      </w:r>
      <w:r w:rsidRPr="0052255D" w:rsidR="001E7CA6">
        <w:rPr>
          <w:u w:color="FF0000"/>
        </w:rPr>
        <w:t xml:space="preserve">saw a “basic shadow” walking across the parking lot.  </w:t>
      </w:r>
      <w:r w:rsidRPr="0052255D" w:rsidR="00A6460B">
        <w:rPr>
          <w:u w:color="FF0000"/>
        </w:rPr>
        <w:t xml:space="preserve">The men ran into the clinic to call 911.  </w:t>
      </w:r>
    </w:p>
    <w:p w:rsidR="002B46F6"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Carrillo </w:t>
      </w:r>
      <w:r w:rsidRPr="0052255D" w:rsidR="00E625B3">
        <w:rPr>
          <w:rFonts w:ascii="Century Schoolbook" w:hAnsi="Century Schoolbook"/>
          <w:color w:val="auto"/>
          <w:sz w:val="27"/>
          <w:u w:color="FF0000"/>
        </w:rPr>
        <w:t>returned to</w:t>
      </w:r>
      <w:r w:rsidRPr="0052255D">
        <w:rPr>
          <w:rFonts w:ascii="Century Schoolbook" w:hAnsi="Century Schoolbook"/>
          <w:color w:val="auto"/>
          <w:sz w:val="27"/>
          <w:u w:color="FF0000"/>
        </w:rPr>
        <w:t xml:space="preserve"> Quiambao’s house</w:t>
      </w:r>
      <w:r w:rsidRPr="0052255D" w:rsidR="00996662">
        <w:rPr>
          <w:rFonts w:ascii="Century Schoolbook" w:hAnsi="Century Schoolbook"/>
          <w:color w:val="auto"/>
          <w:sz w:val="27"/>
          <w:u w:color="FF0000"/>
        </w:rPr>
        <w:t xml:space="preserve"> </w:t>
      </w:r>
      <w:r w:rsidRPr="0052255D" w:rsidR="00F51738">
        <w:rPr>
          <w:rFonts w:ascii="Century Schoolbook" w:hAnsi="Century Schoolbook"/>
          <w:color w:val="auto"/>
          <w:sz w:val="27"/>
          <w:u w:color="FF0000"/>
        </w:rPr>
        <w:t xml:space="preserve">after the shooting </w:t>
      </w:r>
      <w:r w:rsidRPr="0052255D" w:rsidR="00996662">
        <w:rPr>
          <w:rFonts w:ascii="Century Schoolbook" w:hAnsi="Century Schoolbook"/>
          <w:color w:val="auto"/>
          <w:sz w:val="27"/>
          <w:u w:color="FF0000"/>
        </w:rPr>
        <w:t>and</w:t>
      </w:r>
      <w:r w:rsidRPr="0052255D" w:rsidR="00514DF6">
        <w:rPr>
          <w:rFonts w:ascii="Century Schoolbook" w:hAnsi="Century Schoolbook"/>
          <w:color w:val="auto"/>
          <w:sz w:val="27"/>
          <w:u w:color="FF0000"/>
        </w:rPr>
        <w:t xml:space="preserve"> changed clothes</w:t>
      </w:r>
      <w:r w:rsidRPr="0052255D">
        <w:rPr>
          <w:rFonts w:ascii="Century Schoolbook" w:hAnsi="Century Schoolbook"/>
          <w:color w:val="auto"/>
          <w:sz w:val="27"/>
          <w:u w:color="FF0000"/>
        </w:rPr>
        <w:t xml:space="preserve">.  Carrillo </w:t>
      </w:r>
      <w:r w:rsidRPr="0052255D" w:rsidR="00E25E68">
        <w:rPr>
          <w:rFonts w:ascii="Century Schoolbook" w:hAnsi="Century Schoolbook"/>
          <w:color w:val="auto"/>
          <w:sz w:val="27"/>
          <w:u w:color="FF0000"/>
        </w:rPr>
        <w:t xml:space="preserve">seemed </w:t>
      </w:r>
      <w:r w:rsidRPr="0052255D">
        <w:rPr>
          <w:rFonts w:ascii="Century Schoolbook" w:hAnsi="Century Schoolbook"/>
          <w:color w:val="auto"/>
          <w:sz w:val="27"/>
          <w:u w:color="FF0000"/>
        </w:rPr>
        <w:t xml:space="preserve">scared, paranoid, </w:t>
      </w:r>
      <w:r w:rsidRPr="0052255D" w:rsidR="001B2BF2">
        <w:rPr>
          <w:rFonts w:ascii="Century Schoolbook" w:hAnsi="Century Schoolbook"/>
          <w:color w:val="auto"/>
          <w:sz w:val="27"/>
          <w:u w:color="FF0000"/>
        </w:rPr>
        <w:t xml:space="preserve">and </w:t>
      </w:r>
      <w:r w:rsidRPr="0052255D">
        <w:rPr>
          <w:rFonts w:ascii="Century Schoolbook" w:hAnsi="Century Schoolbook"/>
          <w:color w:val="auto"/>
          <w:sz w:val="27"/>
          <w:u w:color="FF0000"/>
        </w:rPr>
        <w:t>frantic</w:t>
      </w:r>
      <w:r w:rsidRPr="0052255D">
        <w:rPr>
          <w:rFonts w:ascii="Century Schoolbook" w:hAnsi="Century Schoolbook"/>
          <w:color w:val="000000" w:themeColor="text1"/>
          <w:sz w:val="27"/>
          <w:u w:color="FF0000"/>
        </w:rPr>
        <w:t xml:space="preserve">.  </w:t>
      </w:r>
      <w:r w:rsidRPr="0052255D" w:rsidR="00E25E68">
        <w:rPr>
          <w:rFonts w:ascii="Century Schoolbook" w:hAnsi="Century Schoolbook"/>
          <w:color w:val="auto"/>
          <w:sz w:val="27"/>
          <w:u w:color="FF0000"/>
        </w:rPr>
        <w:t>He</w:t>
      </w:r>
      <w:r w:rsidRPr="0052255D" w:rsidR="000E7D61">
        <w:rPr>
          <w:rFonts w:ascii="Century Schoolbook" w:hAnsi="Century Schoolbook"/>
          <w:color w:val="auto"/>
          <w:sz w:val="27"/>
          <w:u w:color="FF0000"/>
        </w:rPr>
        <w:t xml:space="preserve"> </w:t>
      </w:r>
      <w:r w:rsidRPr="0052255D" w:rsidR="00E25E68">
        <w:rPr>
          <w:rFonts w:ascii="Century Schoolbook" w:hAnsi="Century Schoolbook"/>
          <w:color w:val="auto"/>
          <w:sz w:val="27"/>
          <w:u w:color="FF0000"/>
        </w:rPr>
        <w:t xml:space="preserve">appeared </w:t>
      </w:r>
      <w:r w:rsidRPr="0052255D" w:rsidR="00773918">
        <w:rPr>
          <w:rFonts w:ascii="Century Schoolbook" w:hAnsi="Century Schoolbook"/>
          <w:color w:val="auto"/>
          <w:sz w:val="27"/>
          <w:u w:color="FF0000"/>
        </w:rPr>
        <w:t xml:space="preserve">to be praying and repeatedly </w:t>
      </w:r>
      <w:r w:rsidRPr="0052255D">
        <w:rPr>
          <w:rFonts w:ascii="Century Schoolbook" w:hAnsi="Century Schoolbook"/>
          <w:color w:val="auto"/>
          <w:sz w:val="27"/>
          <w:u w:color="FF0000"/>
        </w:rPr>
        <w:t xml:space="preserve">stated, “They shot him.”  When Quiambao asked Carrillo who shot </w:t>
      </w:r>
      <w:r w:rsidRPr="0052255D" w:rsidR="000E7D61">
        <w:rPr>
          <w:rFonts w:ascii="Century Schoolbook" w:hAnsi="Century Schoolbook"/>
          <w:color w:val="auto"/>
          <w:sz w:val="27"/>
          <w:u w:color="FF0000"/>
        </w:rPr>
        <w:t>them</w:t>
      </w:r>
      <w:r w:rsidRPr="0052255D">
        <w:rPr>
          <w:rFonts w:ascii="Century Schoolbook" w:hAnsi="Century Schoolbook"/>
          <w:color w:val="auto"/>
          <w:sz w:val="27"/>
          <w:u w:color="FF0000"/>
        </w:rPr>
        <w:t>, Carrillo replied, “T-Strong.”</w:t>
      </w:r>
      <w:r>
        <w:rPr>
          <w:rFonts w:ascii="Century Schoolbook" w:hAnsi="Century Schoolbook"/>
          <w:b/>
          <w:bCs/>
          <w:color w:val="auto"/>
          <w:sz w:val="27"/>
          <w:u w:color="FF0000"/>
          <w:vertAlign w:val="superscript"/>
        </w:rPr>
        <w:footnoteReference w:id="5"/>
      </w:r>
      <w:r w:rsidRPr="0052255D">
        <w:rPr>
          <w:rFonts w:ascii="Century Schoolbook" w:hAnsi="Century Schoolbook"/>
          <w:color w:val="auto"/>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Defendant arrived at Quiambao’s home</w:t>
      </w:r>
      <w:r w:rsidRPr="0052255D" w:rsidR="005B1596">
        <w:rPr>
          <w:rFonts w:ascii="Century Schoolbook" w:hAnsi="Century Schoolbook"/>
          <w:color w:val="auto"/>
          <w:sz w:val="27"/>
          <w:u w:color="FF0000"/>
        </w:rPr>
        <w:t xml:space="preserve"> an hour or two </w:t>
      </w:r>
      <w:r w:rsidRPr="0052255D" w:rsidR="00EE75FC">
        <w:rPr>
          <w:rFonts w:ascii="Century Schoolbook" w:hAnsi="Century Schoolbook"/>
          <w:color w:val="auto"/>
          <w:sz w:val="27"/>
          <w:u w:color="FF0000"/>
        </w:rPr>
        <w:t>later</w:t>
      </w:r>
      <w:r w:rsidRPr="0052255D">
        <w:rPr>
          <w:rFonts w:ascii="Century Schoolbook" w:hAnsi="Century Schoolbook"/>
          <w:color w:val="auto"/>
          <w:sz w:val="27"/>
          <w:u w:color="FF0000"/>
        </w:rPr>
        <w:t xml:space="preserve">.  </w:t>
      </w:r>
      <w:r w:rsidRPr="0052255D" w:rsidR="005A78CF">
        <w:rPr>
          <w:rFonts w:ascii="Century Schoolbook" w:hAnsi="Century Schoolbook"/>
          <w:color w:val="auto"/>
          <w:sz w:val="27"/>
          <w:u w:color="FF0000"/>
        </w:rPr>
        <w:t>Defendant told</w:t>
      </w:r>
      <w:r w:rsidRPr="0052255D">
        <w:rPr>
          <w:rFonts w:ascii="Century Schoolbook" w:hAnsi="Century Schoolbook"/>
          <w:color w:val="auto"/>
          <w:sz w:val="27"/>
          <w:u w:color="FF0000"/>
        </w:rPr>
        <w:t xml:space="preserve"> </w:t>
      </w:r>
      <w:r w:rsidRPr="0052255D" w:rsidR="005A78CF">
        <w:rPr>
          <w:rFonts w:ascii="Century Schoolbook" w:hAnsi="Century Schoolbook"/>
          <w:color w:val="auto"/>
          <w:sz w:val="27"/>
          <w:u w:color="FF0000"/>
        </w:rPr>
        <w:t xml:space="preserve">Carrillo that he </w:t>
      </w:r>
      <w:r w:rsidRPr="0052255D" w:rsidR="00B57E43">
        <w:rPr>
          <w:rFonts w:ascii="Century Schoolbook" w:hAnsi="Century Schoolbook"/>
          <w:color w:val="auto"/>
          <w:sz w:val="27"/>
          <w:u w:color="FF0000"/>
        </w:rPr>
        <w:t xml:space="preserve">had </w:t>
      </w:r>
      <w:r w:rsidR="00A8571D">
        <w:rPr>
          <w:rFonts w:ascii="Century Schoolbook" w:hAnsi="Century Schoolbook"/>
          <w:color w:val="auto"/>
          <w:sz w:val="27"/>
          <w:u w:color="FF0000"/>
        </w:rPr>
        <w:t xml:space="preserve">discarded </w:t>
      </w:r>
      <w:r w:rsidRPr="0052255D" w:rsidR="005A78CF">
        <w:rPr>
          <w:rFonts w:ascii="Century Schoolbook" w:hAnsi="Century Schoolbook"/>
          <w:color w:val="auto"/>
          <w:sz w:val="27"/>
          <w:u w:color="FF0000"/>
        </w:rPr>
        <w:t xml:space="preserve">the gun and </w:t>
      </w:r>
      <w:r w:rsidRPr="0052255D" w:rsidR="00822581">
        <w:rPr>
          <w:rFonts w:ascii="Century Schoolbook" w:hAnsi="Century Schoolbook"/>
          <w:color w:val="auto"/>
          <w:sz w:val="27"/>
          <w:u w:color="FF0000"/>
        </w:rPr>
        <w:t xml:space="preserve">ran from Anaheim to Quiambao’s house.  </w:t>
      </w:r>
      <w:r w:rsidRPr="0052255D">
        <w:rPr>
          <w:rFonts w:ascii="Century Schoolbook" w:hAnsi="Century Schoolbook"/>
          <w:color w:val="auto"/>
          <w:sz w:val="27"/>
          <w:u w:color="FF0000"/>
        </w:rPr>
        <w:t xml:space="preserve">Quiambao </w:t>
      </w:r>
      <w:r w:rsidRPr="0052255D" w:rsidR="002D079E">
        <w:rPr>
          <w:rFonts w:ascii="Century Schoolbook" w:hAnsi="Century Schoolbook"/>
          <w:color w:val="auto"/>
          <w:sz w:val="27"/>
          <w:u w:color="FF0000"/>
        </w:rPr>
        <w:t xml:space="preserve">repeatedly </w:t>
      </w:r>
      <w:r w:rsidRPr="0052255D">
        <w:rPr>
          <w:rFonts w:ascii="Century Schoolbook" w:hAnsi="Century Schoolbook"/>
          <w:color w:val="auto"/>
          <w:sz w:val="27"/>
          <w:u w:color="FF0000"/>
        </w:rPr>
        <w:t xml:space="preserve">asked defendant why he had shot Johnson and Masubayashi, but defendant did not respond.  </w:t>
      </w:r>
      <w:r w:rsidRPr="0052255D" w:rsidR="00E22B16">
        <w:rPr>
          <w:rFonts w:ascii="Century Schoolbook" w:hAnsi="Century Schoolbook"/>
          <w:color w:val="auto"/>
          <w:sz w:val="27"/>
          <w:u w:color="FF0000"/>
        </w:rPr>
        <w:t>Quiambao asked d</w:t>
      </w:r>
      <w:r w:rsidRPr="0052255D" w:rsidR="00C52AF0">
        <w:rPr>
          <w:rFonts w:ascii="Century Schoolbook" w:hAnsi="Century Schoolbook"/>
          <w:color w:val="auto"/>
          <w:sz w:val="27"/>
          <w:u w:color="FF0000"/>
        </w:rPr>
        <w:t xml:space="preserve">efendant </w:t>
      </w:r>
      <w:r w:rsidRPr="0052255D" w:rsidR="00E22B16">
        <w:rPr>
          <w:rFonts w:ascii="Century Schoolbook" w:hAnsi="Century Schoolbook"/>
          <w:color w:val="auto"/>
          <w:sz w:val="27"/>
          <w:u w:color="FF0000"/>
        </w:rPr>
        <w:t>what he did with the gun, and defendant replied</w:t>
      </w:r>
      <w:r w:rsidRPr="0052255D" w:rsidR="00C52AF0">
        <w:rPr>
          <w:rFonts w:ascii="Century Schoolbook" w:hAnsi="Century Schoolbook"/>
          <w:color w:val="auto"/>
          <w:sz w:val="27"/>
          <w:u w:color="FF0000"/>
        </w:rPr>
        <w:t xml:space="preserve"> that he </w:t>
      </w:r>
      <w:r w:rsidRPr="0052255D" w:rsidR="00C70A3F">
        <w:rPr>
          <w:rFonts w:ascii="Century Schoolbook" w:hAnsi="Century Schoolbook"/>
          <w:color w:val="auto"/>
          <w:sz w:val="27"/>
          <w:u w:color="FF0000"/>
        </w:rPr>
        <w:t>threw it</w:t>
      </w:r>
      <w:r w:rsidRPr="0052255D" w:rsidR="00C52AF0">
        <w:rPr>
          <w:rFonts w:ascii="Century Schoolbook" w:hAnsi="Century Schoolbook"/>
          <w:color w:val="auto"/>
          <w:sz w:val="27"/>
          <w:u w:color="FF0000"/>
        </w:rPr>
        <w:t xml:space="preserve"> away.  </w:t>
      </w:r>
      <w:r w:rsidRPr="0052255D" w:rsidR="00A02C98">
        <w:rPr>
          <w:rFonts w:ascii="Century Schoolbook" w:hAnsi="Century Schoolbook"/>
          <w:color w:val="auto"/>
          <w:sz w:val="27"/>
          <w:u w:color="FF0000"/>
        </w:rPr>
        <w:t>Defendant left Quiambao’s house</w:t>
      </w:r>
      <w:r w:rsidRPr="0052255D" w:rsidR="007229B8">
        <w:rPr>
          <w:rFonts w:ascii="Century Schoolbook" w:hAnsi="Century Schoolbook"/>
          <w:color w:val="auto"/>
          <w:sz w:val="27"/>
          <w:u w:color="FF0000"/>
        </w:rPr>
        <w:t xml:space="preserve">; Carrillo stayed </w:t>
      </w:r>
      <w:r w:rsidRPr="0052255D" w:rsidR="00EB1CFC">
        <w:rPr>
          <w:rFonts w:ascii="Century Schoolbook" w:hAnsi="Century Schoolbook"/>
          <w:color w:val="auto"/>
          <w:sz w:val="27"/>
          <w:u w:color="FF0000"/>
        </w:rPr>
        <w:t xml:space="preserve">there </w:t>
      </w:r>
      <w:r w:rsidRPr="0052255D" w:rsidR="007229B8">
        <w:rPr>
          <w:rFonts w:ascii="Century Schoolbook" w:hAnsi="Century Schoolbook"/>
          <w:color w:val="auto"/>
          <w:sz w:val="27"/>
          <w:u w:color="FF0000"/>
        </w:rPr>
        <w:t xml:space="preserve">and fell asleep.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Later that morning, d</w:t>
      </w:r>
      <w:r w:rsidRPr="0052255D" w:rsidR="005D35CB">
        <w:rPr>
          <w:rFonts w:ascii="Century Schoolbook" w:hAnsi="Century Schoolbook"/>
          <w:color w:val="auto"/>
          <w:sz w:val="27"/>
          <w:u w:color="FF0000"/>
        </w:rPr>
        <w:t xml:space="preserve">efendant and Carrillo </w:t>
      </w:r>
      <w:r w:rsidRPr="0052255D" w:rsidR="00EE75FC">
        <w:rPr>
          <w:rFonts w:ascii="Century Schoolbook" w:hAnsi="Century Schoolbook"/>
          <w:color w:val="auto"/>
          <w:sz w:val="27"/>
          <w:u w:color="FF0000"/>
        </w:rPr>
        <w:t>purchased</w:t>
      </w:r>
      <w:r w:rsidRPr="0052255D" w:rsidR="005D35CB">
        <w:rPr>
          <w:rFonts w:ascii="Century Schoolbook" w:hAnsi="Century Schoolbook"/>
          <w:color w:val="auto"/>
          <w:sz w:val="27"/>
          <w:u w:color="FF0000"/>
        </w:rPr>
        <w:t xml:space="preserve"> fake identification cards and used them to travel with Baby to Utah.  </w:t>
      </w:r>
      <w:r w:rsidRPr="0052255D" w:rsidR="005D35CB">
        <w:rPr>
          <w:rFonts w:ascii="Century Schoolbook" w:hAnsi="Century Schoolbook"/>
          <w:color w:val="000000" w:themeColor="text1"/>
          <w:sz w:val="27"/>
          <w:u w:color="FF0000"/>
        </w:rPr>
        <w:t>T</w:t>
      </w:r>
      <w:r w:rsidRPr="0052255D" w:rsidR="005D35CB">
        <w:rPr>
          <w:rFonts w:ascii="Century Schoolbook" w:hAnsi="Century Schoolbook"/>
          <w:color w:val="auto"/>
          <w:sz w:val="27"/>
          <w:u w:color="FF0000"/>
        </w:rPr>
        <w:t xml:space="preserve">hey </w:t>
      </w:r>
      <w:r w:rsidRPr="0052255D" w:rsidR="009072AC">
        <w:rPr>
          <w:rFonts w:ascii="Century Schoolbook" w:hAnsi="Century Schoolbook"/>
          <w:color w:val="auto"/>
          <w:sz w:val="27"/>
          <w:u w:color="FF0000"/>
        </w:rPr>
        <w:t>lived</w:t>
      </w:r>
      <w:r w:rsidRPr="0052255D" w:rsidR="005D35CB">
        <w:rPr>
          <w:rFonts w:ascii="Century Schoolbook" w:hAnsi="Century Schoolbook"/>
          <w:color w:val="auto"/>
          <w:sz w:val="27"/>
          <w:u w:color="FF0000"/>
        </w:rPr>
        <w:t xml:space="preserve"> with defendant’s relatives</w:t>
      </w:r>
      <w:r w:rsidRPr="0052255D" w:rsidR="005D35CB">
        <w:rPr>
          <w:rFonts w:ascii="Century Schoolbook" w:hAnsi="Century Schoolbook"/>
          <w:color w:val="auto"/>
          <w:sz w:val="27"/>
        </w:rPr>
        <w:t xml:space="preserve"> </w:t>
      </w:r>
      <w:r w:rsidRPr="0052255D" w:rsidR="00112CE8">
        <w:rPr>
          <w:rFonts w:ascii="Century Schoolbook" w:hAnsi="Century Schoolbook"/>
          <w:color w:val="auto"/>
          <w:sz w:val="27"/>
        </w:rPr>
        <w:t xml:space="preserve">in Salt Lake City for </w:t>
      </w:r>
      <w:r w:rsidRPr="0052255D" w:rsidR="00AA6F17">
        <w:rPr>
          <w:rFonts w:ascii="Century Schoolbook" w:hAnsi="Century Schoolbook"/>
          <w:color w:val="auto"/>
          <w:sz w:val="27"/>
          <w:u w:color="FF0000"/>
        </w:rPr>
        <w:t xml:space="preserve">five </w:t>
      </w:r>
      <w:r w:rsidRPr="0052255D" w:rsidR="00EB3E88">
        <w:rPr>
          <w:rFonts w:ascii="Century Schoolbook" w:hAnsi="Century Schoolbook"/>
          <w:color w:val="auto"/>
          <w:sz w:val="27"/>
          <w:u w:color="FF0000"/>
        </w:rPr>
        <w:t xml:space="preserve">or six </w:t>
      </w:r>
      <w:r w:rsidRPr="0052255D" w:rsidR="005D35CB">
        <w:rPr>
          <w:rFonts w:ascii="Century Schoolbook" w:hAnsi="Century Schoolbook"/>
          <w:color w:val="auto"/>
          <w:sz w:val="27"/>
          <w:u w:color="FF0000"/>
        </w:rPr>
        <w:t xml:space="preserve">months.  </w:t>
      </w:r>
      <w:r w:rsidRPr="0052255D" w:rsidR="00E648A3">
        <w:rPr>
          <w:rFonts w:ascii="Century Schoolbook" w:hAnsi="Century Schoolbook"/>
          <w:color w:val="auto"/>
          <w:sz w:val="27"/>
          <w:u w:color="FF0000"/>
        </w:rPr>
        <w:t xml:space="preserve">In 1998, </w:t>
      </w:r>
      <w:r w:rsidRPr="0052255D" w:rsidR="005D35CB">
        <w:rPr>
          <w:rFonts w:ascii="Century Schoolbook" w:hAnsi="Century Schoolbook"/>
          <w:color w:val="auto"/>
          <w:sz w:val="27"/>
          <w:u w:color="FF0000"/>
        </w:rPr>
        <w:t>Carrillo and Baby returned to Los Angeles</w:t>
      </w:r>
      <w:r w:rsidRPr="0052255D" w:rsidR="00876668">
        <w:rPr>
          <w:rFonts w:ascii="Century Schoolbook" w:hAnsi="Century Schoolbook"/>
          <w:color w:val="auto"/>
          <w:sz w:val="27"/>
          <w:u w:color="FF0000"/>
        </w:rPr>
        <w:t xml:space="preserve"> </w:t>
      </w:r>
      <w:r w:rsidRPr="0052255D" w:rsidR="00E648A3">
        <w:rPr>
          <w:rFonts w:ascii="Century Schoolbook" w:hAnsi="Century Schoolbook"/>
          <w:color w:val="auto"/>
          <w:sz w:val="27"/>
          <w:u w:color="FF0000"/>
        </w:rPr>
        <w:t xml:space="preserve">and </w:t>
      </w:r>
      <w:r w:rsidRPr="0052255D" w:rsidR="00876668">
        <w:rPr>
          <w:rFonts w:ascii="Century Schoolbook" w:hAnsi="Century Schoolbook"/>
          <w:color w:val="auto"/>
          <w:sz w:val="27"/>
          <w:u w:color="FF0000"/>
        </w:rPr>
        <w:t xml:space="preserve">defendant </w:t>
      </w:r>
      <w:r w:rsidRPr="0052255D" w:rsidR="00D53711">
        <w:rPr>
          <w:rFonts w:ascii="Century Schoolbook" w:hAnsi="Century Schoolbook"/>
          <w:color w:val="auto"/>
          <w:sz w:val="27"/>
          <w:u w:color="FF0000"/>
        </w:rPr>
        <w:t>remained</w:t>
      </w:r>
      <w:r w:rsidRPr="0052255D" w:rsidR="00876668">
        <w:rPr>
          <w:rFonts w:ascii="Century Schoolbook" w:hAnsi="Century Schoolbook"/>
          <w:color w:val="auto"/>
          <w:sz w:val="27"/>
          <w:u w:color="FF0000"/>
        </w:rPr>
        <w:t xml:space="preserve"> in Utah</w:t>
      </w:r>
      <w:r w:rsidRPr="0052255D" w:rsidR="005D35CB">
        <w:rPr>
          <w:rFonts w:ascii="Century Schoolbook" w:hAnsi="Century Schoolbook"/>
          <w:color w:val="auto"/>
          <w:sz w:val="27"/>
          <w:u w:color="FF0000"/>
        </w:rPr>
        <w:t>.</w:t>
      </w:r>
      <w:r w:rsidRPr="0052255D" w:rsidR="005D35CB">
        <w:rPr>
          <w:rFonts w:ascii="Century Schoolbook" w:hAnsi="Century Schoolbook"/>
          <w:color w:val="000000" w:themeColor="text1"/>
          <w:sz w:val="27"/>
          <w:u w:color="FF0000"/>
        </w:rPr>
        <w:t xml:space="preserve">  </w:t>
      </w:r>
      <w:r w:rsidRPr="0052255D" w:rsidR="005D35CB">
        <w:rPr>
          <w:rFonts w:ascii="Century Schoolbook" w:hAnsi="Century Schoolbook"/>
          <w:color w:val="auto"/>
          <w:sz w:val="27"/>
          <w:u w:color="FF0000"/>
        </w:rPr>
        <w:t xml:space="preserve">   </w:t>
      </w:r>
      <w:r w:rsidRPr="0052255D">
        <w:rPr>
          <w:rFonts w:ascii="Century Schoolbook" w:hAnsi="Century Schoolbook"/>
          <w:color w:val="000000" w:themeColor="text1"/>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In late 1999 or early 2000, </w:t>
      </w:r>
      <w:r w:rsidRPr="0052255D">
        <w:rPr>
          <w:rFonts w:ascii="Century Schoolbook" w:hAnsi="Century Schoolbook"/>
          <w:color w:val="auto"/>
          <w:sz w:val="27"/>
          <w:u w:color="FF0000"/>
        </w:rPr>
        <w:t xml:space="preserve">Masubayashi </w:t>
      </w:r>
      <w:r w:rsidRPr="0052255D" w:rsidR="00D50E20">
        <w:rPr>
          <w:rFonts w:ascii="Century Schoolbook" w:hAnsi="Century Schoolbook"/>
          <w:color w:val="auto"/>
          <w:sz w:val="27"/>
          <w:u w:color="FF0000"/>
        </w:rPr>
        <w:t>b</w:t>
      </w:r>
      <w:r w:rsidRPr="0052255D" w:rsidR="00A51DDE">
        <w:rPr>
          <w:rFonts w:ascii="Century Schoolbook" w:hAnsi="Century Schoolbook"/>
          <w:color w:val="auto"/>
          <w:sz w:val="27"/>
          <w:u w:color="FF0000"/>
        </w:rPr>
        <w:t>e</w:t>
      </w:r>
      <w:r w:rsidRPr="0052255D" w:rsidR="00D50E20">
        <w:rPr>
          <w:rFonts w:ascii="Century Schoolbook" w:hAnsi="Century Schoolbook"/>
          <w:color w:val="auto"/>
          <w:sz w:val="27"/>
          <w:u w:color="FF0000"/>
        </w:rPr>
        <w:t>gan</w:t>
      </w:r>
      <w:r w:rsidRPr="0052255D">
        <w:rPr>
          <w:rFonts w:ascii="Century Schoolbook" w:hAnsi="Century Schoolbook"/>
          <w:color w:val="auto"/>
          <w:sz w:val="27"/>
          <w:u w:color="FF0000"/>
        </w:rPr>
        <w:t xml:space="preserve"> dating Glenda Perdon (Glenda Bloemhof at trial).  </w:t>
      </w:r>
      <w:r w:rsidRPr="0052255D" w:rsidR="00FC70F1">
        <w:rPr>
          <w:rFonts w:ascii="Century Schoolbook" w:hAnsi="Century Schoolbook"/>
          <w:color w:val="000000" w:themeColor="text1"/>
          <w:sz w:val="27"/>
          <w:u w:color="FF0000"/>
        </w:rPr>
        <w:t xml:space="preserve">Unbeknownst to Masubayashi, </w:t>
      </w:r>
      <w:r w:rsidRPr="0052255D">
        <w:rPr>
          <w:rFonts w:ascii="Century Schoolbook" w:hAnsi="Century Schoolbook"/>
          <w:color w:val="auto"/>
          <w:sz w:val="27"/>
          <w:u w:color="FF0000"/>
        </w:rPr>
        <w:t xml:space="preserve">Perdon had previously associated with members of the Pinoy Real gang, and she had seen defendant at Quiambao’s house </w:t>
      </w:r>
      <w:r w:rsidRPr="0052255D" w:rsidR="00F54245">
        <w:rPr>
          <w:rFonts w:ascii="Century Schoolbook" w:hAnsi="Century Schoolbook"/>
          <w:color w:val="auto"/>
          <w:sz w:val="27"/>
          <w:u w:color="FF0000"/>
        </w:rPr>
        <w:t xml:space="preserve">on </w:t>
      </w:r>
      <w:r w:rsidRPr="0052255D">
        <w:rPr>
          <w:rFonts w:ascii="Century Schoolbook" w:hAnsi="Century Schoolbook"/>
          <w:color w:val="auto"/>
          <w:sz w:val="27"/>
          <w:u w:color="FF0000"/>
        </w:rPr>
        <w:t xml:space="preserve">a few </w:t>
      </w:r>
      <w:r w:rsidRPr="0052255D" w:rsidR="00F54245">
        <w:rPr>
          <w:rFonts w:ascii="Century Schoolbook" w:hAnsi="Century Schoolbook"/>
          <w:color w:val="auto"/>
          <w:sz w:val="27"/>
          <w:u w:color="FF0000"/>
        </w:rPr>
        <w:t>occasion</w:t>
      </w:r>
      <w:r w:rsidRPr="0052255D">
        <w:rPr>
          <w:rFonts w:ascii="Century Schoolbook" w:hAnsi="Century Schoolbook"/>
          <w:color w:val="auto"/>
          <w:sz w:val="27"/>
          <w:u w:color="FF0000"/>
        </w:rPr>
        <w:t xml:space="preserve">s.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 xml:space="preserve">In April 2000, Masubayashi </w:t>
      </w:r>
      <w:r w:rsidRPr="0052255D" w:rsidR="006E7B54">
        <w:rPr>
          <w:rFonts w:ascii="Century Schoolbook" w:hAnsi="Century Schoolbook"/>
          <w:color w:val="auto"/>
          <w:sz w:val="27"/>
          <w:u w:color="FF0000"/>
        </w:rPr>
        <w:t xml:space="preserve">spotted </w:t>
      </w:r>
      <w:r w:rsidRPr="0052255D">
        <w:rPr>
          <w:rFonts w:ascii="Century Schoolbook" w:hAnsi="Century Schoolbook"/>
          <w:color w:val="auto"/>
          <w:sz w:val="27"/>
          <w:u w:color="FF0000"/>
        </w:rPr>
        <w:t xml:space="preserve">defendant </w:t>
      </w:r>
      <w:r w:rsidRPr="0052255D" w:rsidR="00FB5B74">
        <w:rPr>
          <w:rFonts w:ascii="Century Schoolbook" w:hAnsi="Century Schoolbook"/>
          <w:color w:val="auto"/>
          <w:sz w:val="27"/>
          <w:u w:color="FF0000"/>
        </w:rPr>
        <w:t>in the parking lot of</w:t>
      </w:r>
      <w:r w:rsidRPr="0052255D" w:rsidR="00BD35B0">
        <w:rPr>
          <w:rFonts w:ascii="Century Schoolbook" w:hAnsi="Century Schoolbook"/>
          <w:color w:val="auto"/>
          <w:sz w:val="27"/>
          <w:u w:color="FF0000"/>
        </w:rPr>
        <w:t xml:space="preserve"> the Ramona Hotel</w:t>
      </w:r>
      <w:r w:rsidRPr="0052255D" w:rsidR="00FB5B74">
        <w:rPr>
          <w:rFonts w:ascii="Century Schoolbook" w:hAnsi="Century Schoolbook"/>
          <w:color w:val="auto"/>
          <w:sz w:val="27"/>
          <w:u w:color="FF0000"/>
        </w:rPr>
        <w:t xml:space="preserve"> in Cerritos</w:t>
      </w:r>
      <w:r w:rsidRPr="0052255D" w:rsidR="001522D3">
        <w:rPr>
          <w:rFonts w:ascii="Century Schoolbook" w:hAnsi="Century Schoolbook"/>
          <w:color w:val="auto"/>
          <w:sz w:val="27"/>
          <w:u w:color="FF0000"/>
        </w:rPr>
        <w:t>.  Masubayashi</w:t>
      </w:r>
      <w:r w:rsidRPr="0052255D" w:rsidR="00BD35B0">
        <w:rPr>
          <w:rFonts w:ascii="Century Schoolbook" w:hAnsi="Century Schoolbook"/>
          <w:color w:val="auto"/>
          <w:sz w:val="27"/>
          <w:u w:color="FF0000"/>
        </w:rPr>
        <w:t xml:space="preserve"> had </w:t>
      </w:r>
      <w:r w:rsidRPr="0052255D" w:rsidR="008B1C9E">
        <w:rPr>
          <w:rFonts w:ascii="Century Schoolbook" w:hAnsi="Century Schoolbook"/>
          <w:color w:val="auto"/>
          <w:sz w:val="27"/>
          <w:u w:color="FF0000"/>
        </w:rPr>
        <w:t xml:space="preserve">not </w:t>
      </w:r>
      <w:r w:rsidRPr="0052255D" w:rsidR="00BD35B0">
        <w:rPr>
          <w:rFonts w:ascii="Century Schoolbook" w:hAnsi="Century Schoolbook"/>
          <w:color w:val="auto"/>
          <w:sz w:val="27"/>
          <w:u w:color="FF0000"/>
        </w:rPr>
        <w:t xml:space="preserve">seen defendant </w:t>
      </w:r>
      <w:r w:rsidRPr="0052255D">
        <w:rPr>
          <w:rFonts w:ascii="Century Schoolbook" w:hAnsi="Century Schoolbook"/>
          <w:color w:val="auto"/>
          <w:sz w:val="27"/>
          <w:u w:color="FF0000"/>
        </w:rPr>
        <w:t xml:space="preserve">since the shooting.  </w:t>
      </w:r>
      <w:r w:rsidRPr="0052255D" w:rsidR="004518F8">
        <w:rPr>
          <w:rFonts w:ascii="Century Schoolbook" w:hAnsi="Century Schoolbook"/>
          <w:color w:val="auto"/>
          <w:sz w:val="27"/>
          <w:u w:color="FF0000"/>
        </w:rPr>
        <w:t xml:space="preserve">He </w:t>
      </w:r>
      <w:r w:rsidRPr="0052255D">
        <w:rPr>
          <w:rFonts w:ascii="Century Schoolbook" w:hAnsi="Century Schoolbook"/>
          <w:color w:val="auto"/>
          <w:sz w:val="27"/>
          <w:u w:color="FF0000"/>
        </w:rPr>
        <w:t xml:space="preserve">told Perdon </w:t>
      </w:r>
      <w:r w:rsidRPr="0052255D" w:rsidR="002879D4">
        <w:rPr>
          <w:rFonts w:ascii="Century Schoolbook" w:hAnsi="Century Schoolbook"/>
          <w:color w:val="auto"/>
          <w:sz w:val="27"/>
          <w:u w:color="FF0000"/>
        </w:rPr>
        <w:t xml:space="preserve">that </w:t>
      </w:r>
      <w:r w:rsidRPr="0052255D">
        <w:rPr>
          <w:rFonts w:ascii="Century Schoolbook" w:hAnsi="Century Schoolbook"/>
          <w:color w:val="auto"/>
          <w:sz w:val="27"/>
          <w:u w:color="FF0000"/>
        </w:rPr>
        <w:t xml:space="preserve">he </w:t>
      </w:r>
      <w:r w:rsidRPr="0052255D" w:rsidR="003461C6">
        <w:rPr>
          <w:rFonts w:ascii="Century Schoolbook" w:hAnsi="Century Schoolbook"/>
          <w:color w:val="auto"/>
          <w:sz w:val="27"/>
          <w:u w:color="FF0000"/>
        </w:rPr>
        <w:t xml:space="preserve">had </w:t>
      </w:r>
      <w:r w:rsidR="007E3901">
        <w:rPr>
          <w:rFonts w:ascii="Century Schoolbook" w:hAnsi="Century Schoolbook"/>
          <w:color w:val="auto"/>
          <w:sz w:val="27"/>
          <w:u w:color="FF0000"/>
        </w:rPr>
        <w:t xml:space="preserve">observed </w:t>
      </w:r>
      <w:r w:rsidRPr="0052255D">
        <w:rPr>
          <w:rFonts w:ascii="Century Schoolbook" w:hAnsi="Century Schoolbook"/>
          <w:color w:val="auto"/>
          <w:sz w:val="27"/>
          <w:u w:color="FF0000"/>
        </w:rPr>
        <w:t xml:space="preserve">defendant and wanted to </w:t>
      </w:r>
      <w:r w:rsidRPr="0052255D" w:rsidR="00F71E48">
        <w:rPr>
          <w:rFonts w:ascii="Century Schoolbook" w:hAnsi="Century Schoolbook"/>
          <w:color w:val="auto"/>
          <w:sz w:val="27"/>
          <w:u w:color="FF0000"/>
        </w:rPr>
        <w:t>notify</w:t>
      </w:r>
      <w:r w:rsidRPr="0052255D">
        <w:rPr>
          <w:rFonts w:ascii="Century Schoolbook" w:hAnsi="Century Schoolbook"/>
          <w:color w:val="auto"/>
          <w:sz w:val="27"/>
          <w:u w:color="FF0000"/>
        </w:rPr>
        <w:t xml:space="preserve"> the police. </w:t>
      </w:r>
      <w:r w:rsidRPr="0052255D">
        <w:rPr>
          <w:rFonts w:ascii="Century Schoolbook" w:hAnsi="Century Schoolbook"/>
          <w:color w:val="000000" w:themeColor="text1"/>
          <w:sz w:val="27"/>
          <w:u w:color="FF0000"/>
        </w:rPr>
        <w:t xml:space="preserve"> </w:t>
      </w:r>
      <w:r w:rsidRPr="0052255D">
        <w:rPr>
          <w:rFonts w:ascii="Century Schoolbook" w:hAnsi="Century Schoolbook"/>
          <w:color w:val="auto"/>
          <w:sz w:val="27"/>
          <w:u w:color="FF0000"/>
        </w:rPr>
        <w:t xml:space="preserve">Perdon </w:t>
      </w:r>
      <w:r w:rsidRPr="0052255D" w:rsidR="00F71E48">
        <w:rPr>
          <w:rFonts w:ascii="Century Schoolbook" w:hAnsi="Century Schoolbook"/>
          <w:color w:val="auto"/>
          <w:sz w:val="27"/>
          <w:u w:color="FF0000"/>
        </w:rPr>
        <w:t xml:space="preserve">mentioned </w:t>
      </w:r>
      <w:r w:rsidRPr="0052255D">
        <w:rPr>
          <w:rFonts w:ascii="Century Schoolbook" w:hAnsi="Century Schoolbook"/>
          <w:color w:val="auto"/>
          <w:sz w:val="27"/>
          <w:u w:color="FF0000"/>
        </w:rPr>
        <w:t xml:space="preserve">that she </w:t>
      </w:r>
      <w:r w:rsidRPr="0052255D" w:rsidR="00BC057D">
        <w:rPr>
          <w:rFonts w:ascii="Century Schoolbook" w:hAnsi="Century Schoolbook"/>
          <w:color w:val="auto"/>
          <w:sz w:val="27"/>
          <w:u w:color="FF0000"/>
        </w:rPr>
        <w:t>had overheard defendant brag</w:t>
      </w:r>
      <w:r w:rsidRPr="0052255D" w:rsidR="00BB20C1">
        <w:rPr>
          <w:rFonts w:ascii="Century Schoolbook" w:hAnsi="Century Schoolbook"/>
          <w:color w:val="auto"/>
          <w:sz w:val="27"/>
          <w:u w:color="FF0000"/>
        </w:rPr>
        <w:t xml:space="preserve"> about killing Johnson when she was</w:t>
      </w:r>
      <w:r w:rsidRPr="0052255D">
        <w:rPr>
          <w:rFonts w:ascii="Century Schoolbook" w:hAnsi="Century Schoolbook"/>
          <w:color w:val="auto"/>
          <w:sz w:val="27"/>
          <w:u w:color="FF0000"/>
        </w:rPr>
        <w:t xml:space="preserve"> at defendant’s house</w:t>
      </w:r>
      <w:r w:rsidRPr="0052255D" w:rsidR="00913900">
        <w:rPr>
          <w:rFonts w:ascii="Century Schoolbook" w:hAnsi="Century Schoolbook"/>
          <w:color w:val="auto"/>
          <w:sz w:val="27"/>
          <w:u w:color="FF0000"/>
        </w:rPr>
        <w:t xml:space="preserve"> for a barbeque</w:t>
      </w:r>
      <w:r w:rsidRPr="0052255D">
        <w:rPr>
          <w:rFonts w:ascii="Century Schoolbook" w:hAnsi="Century Schoolbook"/>
          <w:color w:val="auto"/>
          <w:sz w:val="27"/>
          <w:u w:color="FF0000"/>
        </w:rPr>
        <w:t>.  According to Perdon, defendant said</w:t>
      </w:r>
      <w:r w:rsidRPr="0052255D" w:rsidR="001278C7">
        <w:rPr>
          <w:rFonts w:ascii="Century Schoolbook" w:hAnsi="Century Schoolbook"/>
          <w:color w:val="auto"/>
          <w:sz w:val="27"/>
          <w:u w:color="FF0000"/>
        </w:rPr>
        <w:t>,</w:t>
      </w:r>
      <w:r w:rsidRPr="0052255D">
        <w:rPr>
          <w:rFonts w:ascii="Century Schoolbook" w:hAnsi="Century Schoolbook"/>
          <w:color w:val="auto"/>
          <w:sz w:val="27"/>
          <w:u w:color="FF0000"/>
        </w:rPr>
        <w:t xml:space="preserve"> “I came in my pants when I saw that nigger flop after I</w:t>
      </w:r>
      <w:r w:rsidRPr="0052255D" w:rsidR="003E2FB2">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shot him.”  </w:t>
      </w:r>
      <w:r w:rsidRPr="0052255D" w:rsidR="00913900">
        <w:rPr>
          <w:rFonts w:ascii="Century Schoolbook" w:hAnsi="Century Schoolbook"/>
          <w:color w:val="auto"/>
          <w:sz w:val="27"/>
          <w:u w:color="FF0000"/>
        </w:rPr>
        <w:t xml:space="preserve">Perdon </w:t>
      </w:r>
      <w:r w:rsidRPr="0052255D" w:rsidR="00CA6249">
        <w:rPr>
          <w:rFonts w:ascii="Century Schoolbook" w:hAnsi="Century Schoolbook"/>
          <w:color w:val="auto"/>
          <w:sz w:val="27"/>
          <w:u w:color="FF0000"/>
        </w:rPr>
        <w:t xml:space="preserve">also relayed that defendant had mentioned the name “John” when </w:t>
      </w:r>
      <w:r w:rsidRPr="0052255D" w:rsidR="00A6366F">
        <w:rPr>
          <w:rFonts w:ascii="Century Schoolbook" w:hAnsi="Century Schoolbook"/>
          <w:color w:val="auto"/>
          <w:sz w:val="27"/>
          <w:u w:color="FF0000"/>
        </w:rPr>
        <w:t xml:space="preserve">he described </w:t>
      </w:r>
      <w:r w:rsidRPr="0052255D" w:rsidR="00CA6249">
        <w:rPr>
          <w:rFonts w:ascii="Century Schoolbook" w:hAnsi="Century Schoolbook"/>
          <w:color w:val="auto"/>
          <w:sz w:val="27"/>
          <w:u w:color="FF0000"/>
        </w:rPr>
        <w:t xml:space="preserve">the shooting, which Masubayashi understood to </w:t>
      </w:r>
      <w:r w:rsidR="00187FDC">
        <w:rPr>
          <w:rFonts w:ascii="Century Schoolbook" w:hAnsi="Century Schoolbook"/>
          <w:color w:val="auto"/>
          <w:sz w:val="27"/>
          <w:u w:color="FF0000"/>
        </w:rPr>
        <w:t>refer to</w:t>
      </w:r>
      <w:r w:rsidRPr="0052255D" w:rsidR="00187FDC">
        <w:rPr>
          <w:rFonts w:ascii="Century Schoolbook" w:hAnsi="Century Schoolbook"/>
          <w:color w:val="auto"/>
          <w:sz w:val="27"/>
          <w:u w:color="FF0000"/>
        </w:rPr>
        <w:t xml:space="preserve"> </w:t>
      </w:r>
      <w:r w:rsidRPr="0052255D" w:rsidR="00CA6249">
        <w:rPr>
          <w:rFonts w:ascii="Century Schoolbook" w:hAnsi="Century Schoolbook"/>
          <w:color w:val="auto"/>
          <w:sz w:val="27"/>
          <w:u w:color="FF0000"/>
        </w:rPr>
        <w:t xml:space="preserve">him.  </w:t>
      </w:r>
      <w:r w:rsidRPr="0052255D" w:rsidR="001B6CD2">
        <w:rPr>
          <w:rFonts w:ascii="Century Schoolbook" w:hAnsi="Century Schoolbook"/>
          <w:color w:val="auto"/>
          <w:sz w:val="27"/>
          <w:u w:color="FF0000"/>
        </w:rPr>
        <w:t xml:space="preserve">Perdon recalled that this conversation </w:t>
      </w:r>
      <w:r w:rsidRPr="0052255D" w:rsidR="00A6366F">
        <w:rPr>
          <w:rFonts w:ascii="Century Schoolbook" w:hAnsi="Century Schoolbook"/>
          <w:color w:val="auto"/>
          <w:sz w:val="27"/>
          <w:u w:color="FF0000"/>
        </w:rPr>
        <w:t xml:space="preserve">took place </w:t>
      </w:r>
      <w:r w:rsidRPr="0052255D" w:rsidR="008B5FCC">
        <w:rPr>
          <w:rFonts w:ascii="Century Schoolbook" w:hAnsi="Century Schoolbook"/>
          <w:color w:val="auto"/>
          <w:sz w:val="27"/>
          <w:u w:color="FF0000"/>
        </w:rPr>
        <w:t xml:space="preserve">around the time of the shooting and </w:t>
      </w:r>
      <w:r w:rsidRPr="0052255D" w:rsidR="008B5FCC">
        <w:rPr>
          <w:rFonts w:ascii="Century Schoolbook" w:hAnsi="Century Schoolbook"/>
          <w:color w:val="000000" w:themeColor="text1"/>
          <w:sz w:val="27"/>
          <w:u w:color="FF0000"/>
        </w:rPr>
        <w:t xml:space="preserve">that defendant had </w:t>
      </w:r>
      <w:r w:rsidR="005172A4">
        <w:rPr>
          <w:rFonts w:ascii="Century Schoolbook" w:hAnsi="Century Schoolbook"/>
          <w:color w:val="000000" w:themeColor="text1"/>
          <w:sz w:val="27"/>
          <w:u w:color="FF0000"/>
        </w:rPr>
        <w:t xml:space="preserve">then </w:t>
      </w:r>
      <w:r w:rsidRPr="0052255D" w:rsidR="008B5FCC">
        <w:rPr>
          <w:rFonts w:ascii="Century Schoolbook" w:hAnsi="Century Schoolbook"/>
          <w:color w:val="000000" w:themeColor="text1"/>
          <w:sz w:val="27"/>
          <w:u w:color="FF0000"/>
        </w:rPr>
        <w:t>fled to Utah</w:t>
      </w:r>
      <w:r w:rsidRPr="0052255D" w:rsidR="008B5FCC">
        <w:rPr>
          <w:rFonts w:ascii="Century Schoolbook" w:hAnsi="Century Schoolbook"/>
          <w:color w:val="auto"/>
          <w:sz w:val="27"/>
          <w:u w:color="FF0000"/>
        </w:rPr>
        <w:t xml:space="preserve">.   </w:t>
      </w:r>
      <w:r w:rsidRPr="0052255D" w:rsidR="008B5FCC">
        <w:rPr>
          <w:rFonts w:ascii="Century Schoolbook" w:hAnsi="Century Schoolbook"/>
          <w:color w:val="000000" w:themeColor="text1"/>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Shortly thereafter</w:t>
      </w:r>
      <w:r w:rsidRPr="0052255D" w:rsidR="00D00E74">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Masubayashi </w:t>
      </w:r>
      <w:r w:rsidRPr="0052255D" w:rsidR="008658E8">
        <w:rPr>
          <w:rFonts w:ascii="Century Schoolbook" w:hAnsi="Century Schoolbook"/>
          <w:color w:val="auto"/>
          <w:sz w:val="27"/>
          <w:u w:color="FF0000"/>
        </w:rPr>
        <w:t xml:space="preserve">and Perdon </w:t>
      </w:r>
      <w:r w:rsidRPr="0052255D">
        <w:rPr>
          <w:rFonts w:ascii="Century Schoolbook" w:hAnsi="Century Schoolbook"/>
          <w:color w:val="auto"/>
          <w:sz w:val="27"/>
          <w:u w:color="FF0000"/>
        </w:rPr>
        <w:t xml:space="preserve">went </w:t>
      </w:r>
      <w:r w:rsidRPr="0052255D">
        <w:rPr>
          <w:rFonts w:ascii="Century Schoolbook" w:hAnsi="Century Schoolbook"/>
          <w:color w:val="auto"/>
          <w:sz w:val="27"/>
          <w:u w:color="FF0000"/>
        </w:rPr>
        <w:t xml:space="preserve">to the Anaheim police station </w:t>
      </w:r>
      <w:r w:rsidRPr="0052255D" w:rsidR="00FE2F63">
        <w:rPr>
          <w:rFonts w:ascii="Century Schoolbook" w:hAnsi="Century Schoolbook"/>
          <w:color w:val="auto"/>
          <w:sz w:val="27"/>
          <w:u w:color="FF0000"/>
        </w:rPr>
        <w:t>to</w:t>
      </w:r>
      <w:r w:rsidRPr="0052255D" w:rsidR="00CA704F">
        <w:rPr>
          <w:rFonts w:ascii="Century Schoolbook" w:hAnsi="Century Schoolbook"/>
          <w:color w:val="auto"/>
          <w:sz w:val="27"/>
          <w:u w:color="FF0000"/>
        </w:rPr>
        <w:t xml:space="preserve"> provide </w:t>
      </w:r>
      <w:r w:rsidRPr="0052255D" w:rsidR="00FE2F63">
        <w:rPr>
          <w:rFonts w:ascii="Century Schoolbook" w:hAnsi="Century Schoolbook"/>
          <w:color w:val="auto"/>
          <w:sz w:val="27"/>
          <w:u w:color="FF0000"/>
        </w:rPr>
        <w:t xml:space="preserve">additional </w:t>
      </w:r>
      <w:r w:rsidRPr="0052255D">
        <w:rPr>
          <w:rFonts w:ascii="Century Schoolbook" w:hAnsi="Century Schoolbook"/>
          <w:color w:val="auto"/>
          <w:sz w:val="27"/>
          <w:u w:color="FF0000"/>
        </w:rPr>
        <w:t xml:space="preserve">information.  Masubayashi informed </w:t>
      </w:r>
      <w:r w:rsidRPr="0052255D" w:rsidR="00285DBF">
        <w:rPr>
          <w:rFonts w:ascii="Century Schoolbook" w:hAnsi="Century Schoolbook"/>
          <w:color w:val="auto"/>
          <w:sz w:val="27"/>
          <w:u w:color="FF0000"/>
        </w:rPr>
        <w:t>a police detective</w:t>
      </w:r>
      <w:r w:rsidRPr="0052255D">
        <w:rPr>
          <w:rFonts w:ascii="Century Schoolbook" w:hAnsi="Century Schoolbook"/>
          <w:color w:val="auto"/>
          <w:sz w:val="27"/>
          <w:u w:color="FF0000"/>
        </w:rPr>
        <w:t xml:space="preserve"> that he had seen defendant.  </w:t>
      </w:r>
      <w:r w:rsidRPr="0052255D" w:rsidR="00C94027">
        <w:rPr>
          <w:rFonts w:ascii="Century Schoolbook" w:hAnsi="Century Schoolbook"/>
          <w:color w:val="auto"/>
          <w:sz w:val="27"/>
          <w:u w:color="FF0000"/>
        </w:rPr>
        <w:t xml:space="preserve">He also </w:t>
      </w:r>
      <w:r w:rsidRPr="0052255D" w:rsidR="00AF0C8A">
        <w:rPr>
          <w:rFonts w:ascii="Century Schoolbook" w:hAnsi="Century Schoolbook"/>
          <w:color w:val="auto"/>
          <w:sz w:val="27"/>
          <w:u w:color="FF0000"/>
        </w:rPr>
        <w:t>told the detective</w:t>
      </w:r>
      <w:r w:rsidRPr="0052255D" w:rsidR="002F49E7">
        <w:rPr>
          <w:rFonts w:ascii="Century Schoolbook" w:hAnsi="Century Schoolbook"/>
          <w:color w:val="auto"/>
          <w:sz w:val="27"/>
          <w:u w:color="FF0000"/>
        </w:rPr>
        <w:t xml:space="preserve"> that</w:t>
      </w:r>
      <w:r w:rsidRPr="0052255D" w:rsidR="009E05F0">
        <w:rPr>
          <w:rFonts w:ascii="Century Schoolbook" w:hAnsi="Century Schoolbook"/>
          <w:color w:val="auto"/>
          <w:sz w:val="27"/>
          <w:u w:color="FF0000"/>
        </w:rPr>
        <w:t>, based on his conversation with Perdon,</w:t>
      </w:r>
      <w:r w:rsidRPr="0052255D" w:rsidR="00AF0C8A">
        <w:rPr>
          <w:rFonts w:ascii="Century Schoolbook" w:hAnsi="Century Schoolbook"/>
          <w:color w:val="auto"/>
          <w:sz w:val="27"/>
          <w:u w:color="FF0000"/>
        </w:rPr>
        <w:t xml:space="preserve"> it was possible Clarito Mina had been driving the Jeep o</w:t>
      </w:r>
      <w:r w:rsidRPr="0052255D" w:rsidR="00BA1C8E">
        <w:rPr>
          <w:rFonts w:ascii="Century Schoolbook" w:hAnsi="Century Schoolbook"/>
          <w:color w:val="auto"/>
          <w:sz w:val="27"/>
          <w:u w:color="FF0000"/>
        </w:rPr>
        <w:t>n the night in question</w:t>
      </w:r>
      <w:r w:rsidRPr="0052255D" w:rsidR="00AF0C8A">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At trial, </w:t>
      </w:r>
      <w:r w:rsidRPr="0052255D" w:rsidR="00335E88">
        <w:rPr>
          <w:rFonts w:ascii="Century Schoolbook" w:hAnsi="Century Schoolbook"/>
          <w:color w:val="auto"/>
          <w:sz w:val="27"/>
          <w:u w:color="FF0000"/>
        </w:rPr>
        <w:t xml:space="preserve">however, </w:t>
      </w:r>
      <w:r w:rsidRPr="0052255D">
        <w:rPr>
          <w:rFonts w:ascii="Century Schoolbook" w:hAnsi="Century Schoolbook"/>
          <w:color w:val="auto"/>
          <w:sz w:val="27"/>
          <w:u w:color="FF0000"/>
        </w:rPr>
        <w:t xml:space="preserve">Masubayashi testified that </w:t>
      </w:r>
      <w:r w:rsidRPr="0052255D" w:rsidR="00D14CBB">
        <w:rPr>
          <w:rFonts w:ascii="Century Schoolbook" w:hAnsi="Century Schoolbook"/>
          <w:color w:val="auto"/>
          <w:sz w:val="27"/>
          <w:u w:color="FF0000"/>
        </w:rPr>
        <w:t>he was sure</w:t>
      </w:r>
      <w:r w:rsidRPr="0052255D">
        <w:rPr>
          <w:rFonts w:ascii="Century Schoolbook" w:hAnsi="Century Schoolbook"/>
          <w:color w:val="auto"/>
          <w:sz w:val="27"/>
          <w:u w:color="FF0000"/>
        </w:rPr>
        <w:t xml:space="preserve"> Lee </w:t>
      </w:r>
      <w:r w:rsidRPr="0052255D" w:rsidR="00D14CBB">
        <w:rPr>
          <w:rFonts w:ascii="Century Schoolbook" w:hAnsi="Century Schoolbook"/>
          <w:color w:val="auto"/>
          <w:sz w:val="27"/>
          <w:u w:color="FF0000"/>
        </w:rPr>
        <w:t xml:space="preserve">had been </w:t>
      </w:r>
      <w:r w:rsidRPr="0052255D">
        <w:rPr>
          <w:rFonts w:ascii="Century Schoolbook" w:hAnsi="Century Schoolbook"/>
          <w:color w:val="auto"/>
          <w:sz w:val="27"/>
          <w:u w:color="FF0000"/>
        </w:rPr>
        <w:t xml:space="preserve">driving the Jeep. </w:t>
      </w:r>
      <w:r w:rsidRPr="0052255D">
        <w:rPr>
          <w:rFonts w:ascii="Century Schoolbook" w:hAnsi="Century Schoolbook"/>
          <w:color w:val="FF0000"/>
          <w:sz w:val="27"/>
          <w:u w:color="FF0000"/>
        </w:rPr>
        <w:t xml:space="preserve"> </w:t>
      </w:r>
    </w:p>
    <w:p w:rsidR="00DA56A7"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In mid-</w:t>
      </w:r>
      <w:r w:rsidRPr="0052255D">
        <w:rPr>
          <w:rFonts w:ascii="Century Schoolbook" w:hAnsi="Century Schoolbook"/>
          <w:color w:val="auto"/>
          <w:sz w:val="27"/>
          <w:u w:color="FF0000"/>
        </w:rPr>
        <w:t>May 2000, defendant was arrested on an outstanding warrant</w:t>
      </w:r>
      <w:r w:rsidRPr="0052255D" w:rsidR="008D3665">
        <w:rPr>
          <w:rFonts w:ascii="Century Schoolbook" w:hAnsi="Century Schoolbook"/>
          <w:color w:val="auto"/>
          <w:sz w:val="27"/>
          <w:u w:color="FF0000"/>
        </w:rPr>
        <w:t xml:space="preserve"> for unrelated charges</w:t>
      </w:r>
      <w:r w:rsidRPr="0052255D">
        <w:rPr>
          <w:rFonts w:ascii="Century Schoolbook" w:hAnsi="Century Schoolbook"/>
          <w:color w:val="auto"/>
          <w:sz w:val="27"/>
          <w:u w:color="FF0000"/>
        </w:rPr>
        <w:t xml:space="preserve">.  </w:t>
      </w:r>
      <w:r w:rsidRPr="0052255D" w:rsidR="008970DD">
        <w:rPr>
          <w:rFonts w:ascii="Century Schoolbook" w:hAnsi="Century Schoolbook"/>
          <w:color w:val="auto"/>
          <w:sz w:val="27"/>
          <w:u w:color="FF0000"/>
        </w:rPr>
        <w:t xml:space="preserve">Carrillo, </w:t>
      </w:r>
      <w:r w:rsidRPr="0052255D">
        <w:rPr>
          <w:rFonts w:ascii="Century Schoolbook" w:hAnsi="Century Schoolbook"/>
          <w:color w:val="auto"/>
          <w:sz w:val="27"/>
          <w:u w:color="FF0000"/>
        </w:rPr>
        <w:t>Chung</w:t>
      </w:r>
      <w:r w:rsidRPr="0052255D" w:rsidR="008970DD">
        <w:rPr>
          <w:rFonts w:ascii="Century Schoolbook" w:hAnsi="Century Schoolbook"/>
          <w:color w:val="auto"/>
          <w:sz w:val="27"/>
          <w:u w:color="FF0000"/>
        </w:rPr>
        <w:t>,</w:t>
      </w:r>
      <w:r w:rsidRPr="0052255D">
        <w:rPr>
          <w:rFonts w:ascii="Century Schoolbook" w:hAnsi="Century Schoolbook"/>
          <w:color w:val="auto"/>
          <w:sz w:val="27"/>
          <w:u w:color="FF0000"/>
        </w:rPr>
        <w:t xml:space="preserve"> and Lee were also </w:t>
      </w:r>
      <w:r w:rsidRPr="0052255D" w:rsidR="00896C99">
        <w:rPr>
          <w:rFonts w:ascii="Century Schoolbook" w:hAnsi="Century Schoolbook"/>
          <w:color w:val="auto"/>
          <w:sz w:val="27"/>
          <w:u w:color="FF0000"/>
        </w:rPr>
        <w:t xml:space="preserve">eventually </w:t>
      </w:r>
      <w:r w:rsidRPr="0052255D">
        <w:rPr>
          <w:rFonts w:ascii="Century Schoolbook" w:hAnsi="Century Schoolbook"/>
          <w:color w:val="auto"/>
          <w:sz w:val="27"/>
          <w:u w:color="FF0000"/>
        </w:rPr>
        <w:t xml:space="preserve">arrested.  </w:t>
      </w:r>
      <w:r w:rsidR="006E4D75">
        <w:rPr>
          <w:rFonts w:ascii="Century Schoolbook" w:hAnsi="Century Schoolbook"/>
          <w:color w:val="000000" w:themeColor="text1"/>
          <w:sz w:val="27"/>
          <w:u w:color="FF0000"/>
        </w:rPr>
        <w:t>I</w:t>
      </w:r>
      <w:r w:rsidRPr="0052255D" w:rsidR="006E4D75">
        <w:rPr>
          <w:rFonts w:ascii="Century Schoolbook" w:hAnsi="Century Schoolbook"/>
          <w:color w:val="000000" w:themeColor="text1"/>
          <w:sz w:val="27"/>
          <w:u w:color="FF0000"/>
        </w:rPr>
        <w:t xml:space="preserve">n </w:t>
      </w:r>
      <w:r w:rsidRPr="0052255D" w:rsidR="003B750C">
        <w:rPr>
          <w:rFonts w:ascii="Century Schoolbook" w:hAnsi="Century Schoolbook"/>
          <w:color w:val="000000" w:themeColor="text1"/>
          <w:sz w:val="27"/>
          <w:u w:color="FF0000"/>
        </w:rPr>
        <w:t xml:space="preserve">October 2001, a felony complaint </w:t>
      </w:r>
      <w:r w:rsidRPr="0052255D" w:rsidR="00145FB0">
        <w:rPr>
          <w:rFonts w:ascii="Century Schoolbook" w:hAnsi="Century Schoolbook"/>
          <w:color w:val="000000" w:themeColor="text1"/>
          <w:sz w:val="27"/>
          <w:u w:color="FF0000"/>
        </w:rPr>
        <w:t xml:space="preserve">was </w:t>
      </w:r>
      <w:r w:rsidRPr="0052255D" w:rsidR="00150924">
        <w:rPr>
          <w:rFonts w:ascii="Century Schoolbook" w:hAnsi="Century Schoolbook"/>
          <w:color w:val="000000" w:themeColor="text1"/>
          <w:sz w:val="27"/>
          <w:u w:color="FF0000"/>
        </w:rPr>
        <w:t xml:space="preserve">filed </w:t>
      </w:r>
      <w:r w:rsidRPr="0052255D" w:rsidR="00991B2D">
        <w:rPr>
          <w:rFonts w:ascii="Century Schoolbook" w:hAnsi="Century Schoolbook"/>
          <w:color w:val="000000" w:themeColor="text1"/>
          <w:sz w:val="27"/>
          <w:u w:color="FF0000"/>
        </w:rPr>
        <w:t>charging defendant</w:t>
      </w:r>
      <w:r w:rsidRPr="0052255D" w:rsidR="00145FB0">
        <w:rPr>
          <w:rFonts w:ascii="Century Schoolbook" w:hAnsi="Century Schoolbook"/>
          <w:color w:val="000000" w:themeColor="text1"/>
          <w:sz w:val="27"/>
          <w:u w:color="FF0000"/>
        </w:rPr>
        <w:t xml:space="preserve"> with murder, attempted murder, and conspiracy to commit murder. </w:t>
      </w:r>
    </w:p>
    <w:p w:rsidR="008A23E0" w:rsidRPr="0052255D" w:rsidP="0052255D">
      <w:pPr>
        <w:tabs>
          <w:tab w:val="left" w:pos="1440"/>
        </w:tabs>
        <w:ind w:firstLine="720"/>
      </w:pPr>
      <w:r w:rsidRPr="0052255D">
        <w:rPr>
          <w:u w:color="FF0000"/>
        </w:rPr>
        <w:t xml:space="preserve">Defendant </w:t>
      </w:r>
      <w:r w:rsidRPr="0052255D" w:rsidR="00697B95">
        <w:rPr>
          <w:u w:color="FF0000"/>
        </w:rPr>
        <w:t>was</w:t>
      </w:r>
      <w:r w:rsidRPr="0052255D">
        <w:rPr>
          <w:u w:color="FF0000"/>
        </w:rPr>
        <w:t xml:space="preserve"> jointly tried</w:t>
      </w:r>
      <w:r w:rsidRPr="0052255D" w:rsidR="00832549">
        <w:rPr>
          <w:u w:color="FF0000"/>
        </w:rPr>
        <w:t xml:space="preserve"> before a single jury</w:t>
      </w:r>
      <w:r w:rsidRPr="0052255D" w:rsidR="00697B95">
        <w:rPr>
          <w:u w:color="FF0000"/>
        </w:rPr>
        <w:t xml:space="preserve"> with codefendant Lee at the guilt phase trial</w:t>
      </w:r>
      <w:r w:rsidR="00DB1FB8">
        <w:rPr>
          <w:u w:color="FF0000"/>
        </w:rPr>
        <w:t>.  A</w:t>
      </w:r>
      <w:r w:rsidRPr="0052255D" w:rsidR="00FF7BB4">
        <w:rPr>
          <w:u w:color="FF0000"/>
        </w:rPr>
        <w:t xml:space="preserve"> death verdict was not sought against Lee</w:t>
      </w:r>
      <w:r w:rsidRPr="0052255D">
        <w:rPr>
          <w:u w:color="FF0000"/>
        </w:rPr>
        <w:t xml:space="preserve">.  </w:t>
      </w:r>
      <w:r w:rsidRPr="0052255D" w:rsidR="0037310B">
        <w:t xml:space="preserve">Chung </w:t>
      </w:r>
      <w:r w:rsidRPr="0052255D" w:rsidR="00EA2038">
        <w:t xml:space="preserve">also </w:t>
      </w:r>
      <w:r w:rsidR="00B8576B">
        <w:t xml:space="preserve">was </w:t>
      </w:r>
      <w:r w:rsidRPr="0052255D" w:rsidR="0037310B">
        <w:t xml:space="preserve">charged with </w:t>
      </w:r>
      <w:r w:rsidRPr="0052255D" w:rsidR="00EA2038">
        <w:t>first degree murder, conspiracy to commit murder, and premeditated attempted murder</w:t>
      </w:r>
      <w:r w:rsidRPr="0052255D" w:rsidR="0037310B">
        <w:t xml:space="preserve">, but </w:t>
      </w:r>
      <w:r w:rsidRPr="0052255D" w:rsidR="00EA2038">
        <w:t xml:space="preserve">he </w:t>
      </w:r>
      <w:r w:rsidRPr="0052255D" w:rsidR="0037310B">
        <w:t xml:space="preserve">was tried separately. </w:t>
      </w:r>
      <w:r w:rsidRPr="0052255D" w:rsidR="0037310B">
        <w:rPr>
          <w:color w:val="FF0000"/>
        </w:rPr>
        <w:t xml:space="preserve"> </w:t>
      </w:r>
      <w:r w:rsidRPr="00EC120F" w:rsidR="001057F6">
        <w:t>Carrillo testified for the prosecution as part of a plea bargain under which he ple</w:t>
      </w:r>
      <w:r w:rsidRPr="00EC120F" w:rsidR="0025597D">
        <w:t>ade</w:t>
      </w:r>
      <w:r w:rsidRPr="00EC120F" w:rsidR="001057F6">
        <w:t>d guilty to voluntary manslaughter and attempted murder</w:t>
      </w:r>
      <w:r w:rsidRPr="00EC120F" w:rsidR="00F44B7F">
        <w:t xml:space="preserve">, for which </w:t>
      </w:r>
      <w:r w:rsidRPr="00EC120F" w:rsidR="005A407B">
        <w:t xml:space="preserve">he </w:t>
      </w:r>
      <w:r w:rsidRPr="00EC120F" w:rsidR="001057F6">
        <w:t xml:space="preserve">received a six-year sentence.  </w:t>
      </w:r>
    </w:p>
    <w:p w:rsidR="001E650D" w:rsidRPr="0052255D" w:rsidP="0052255D">
      <w:pPr>
        <w:pStyle w:val="Heading3"/>
      </w:pPr>
      <w:bookmarkStart w:id="4" w:name="_Toc94515324"/>
      <w:r w:rsidRPr="0052255D">
        <w:t xml:space="preserve">2.  </w:t>
      </w:r>
      <w:r w:rsidRPr="0052255D">
        <w:t xml:space="preserve">Defense </w:t>
      </w:r>
      <w:r w:rsidRPr="0052255D">
        <w:t>e</w:t>
      </w:r>
      <w:r w:rsidRPr="0052255D">
        <w:t>vidence</w:t>
      </w:r>
      <w:bookmarkEnd w:id="4"/>
    </w:p>
    <w:p w:rsidR="00BD707F"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Defendant presented evidence</w:t>
      </w:r>
      <w:r w:rsidRPr="0052255D">
        <w:rPr>
          <w:rFonts w:ascii="Century Schoolbook" w:hAnsi="Century Schoolbook"/>
          <w:sz w:val="27"/>
        </w:rPr>
        <w:t xml:space="preserve"> </w:t>
      </w:r>
      <w:r w:rsidRPr="0052255D" w:rsidR="00B7754A">
        <w:rPr>
          <w:rFonts w:ascii="Century Schoolbook" w:hAnsi="Century Schoolbook"/>
          <w:sz w:val="27"/>
        </w:rPr>
        <w:t xml:space="preserve">suggesting </w:t>
      </w:r>
      <w:r w:rsidRPr="0052255D" w:rsidR="00656CB0">
        <w:rPr>
          <w:rFonts w:ascii="Century Schoolbook" w:hAnsi="Century Schoolbook"/>
          <w:sz w:val="27"/>
        </w:rPr>
        <w:t xml:space="preserve">that it was </w:t>
      </w:r>
      <w:r w:rsidRPr="0052255D">
        <w:rPr>
          <w:rFonts w:ascii="Century Schoolbook" w:hAnsi="Century Schoolbook"/>
          <w:sz w:val="27"/>
        </w:rPr>
        <w:t xml:space="preserve">Carrillo </w:t>
      </w:r>
      <w:r w:rsidRPr="0052255D" w:rsidR="00656CB0">
        <w:rPr>
          <w:rFonts w:ascii="Century Schoolbook" w:hAnsi="Century Schoolbook"/>
          <w:sz w:val="27"/>
        </w:rPr>
        <w:t xml:space="preserve">who </w:t>
      </w:r>
      <w:r w:rsidRPr="0052255D">
        <w:rPr>
          <w:rFonts w:ascii="Century Schoolbook" w:hAnsi="Century Schoolbook"/>
          <w:sz w:val="27"/>
        </w:rPr>
        <w:t>shot Johnson and Masubayashi</w:t>
      </w:r>
      <w:r w:rsidRPr="0052255D" w:rsidR="00A269D0">
        <w:rPr>
          <w:rFonts w:ascii="Century Schoolbook" w:hAnsi="Century Schoolbook"/>
          <w:sz w:val="27"/>
        </w:rPr>
        <w:t xml:space="preserve">.  The defense also </w:t>
      </w:r>
      <w:r w:rsidRPr="0052255D" w:rsidR="00C54AA5">
        <w:rPr>
          <w:rFonts w:ascii="Century Schoolbook" w:hAnsi="Century Schoolbook"/>
          <w:sz w:val="27"/>
        </w:rPr>
        <w:t xml:space="preserve">sought to portray </w:t>
      </w:r>
      <w:r w:rsidRPr="0052255D">
        <w:rPr>
          <w:rFonts w:ascii="Century Schoolbook" w:hAnsi="Century Schoolbook"/>
          <w:sz w:val="27"/>
        </w:rPr>
        <w:t xml:space="preserve">Carrillo </w:t>
      </w:r>
      <w:r w:rsidRPr="0052255D" w:rsidR="00C54AA5">
        <w:rPr>
          <w:rFonts w:ascii="Century Schoolbook" w:hAnsi="Century Schoolbook"/>
          <w:sz w:val="27"/>
        </w:rPr>
        <w:t>as a liar</w:t>
      </w:r>
      <w:r w:rsidRPr="0052255D" w:rsidR="00B258F0">
        <w:rPr>
          <w:rFonts w:ascii="Century Schoolbook" w:hAnsi="Century Schoolbook"/>
          <w:sz w:val="27"/>
        </w:rPr>
        <w:t xml:space="preserve"> and an unreliable witness</w:t>
      </w:r>
      <w:r w:rsidRPr="0052255D">
        <w:rPr>
          <w:rFonts w:ascii="Century Schoolbook" w:hAnsi="Century Schoolbook"/>
          <w:sz w:val="27"/>
        </w:rPr>
        <w:t xml:space="preserve">.  </w:t>
      </w:r>
    </w:p>
    <w:p w:rsidR="005929F0" w:rsidRPr="0052255D" w:rsidP="0052255D">
      <w:pPr>
        <w:pStyle w:val="Body"/>
        <w:tabs>
          <w:tab w:val="left" w:pos="720"/>
        </w:tabs>
        <w:spacing w:after="100" w:line="400" w:lineRule="exact"/>
        <w:jc w:val="both"/>
        <w:rPr>
          <w:rFonts w:ascii="Century Schoolbook" w:hAnsi="Century Schoolbook"/>
          <w:color w:val="auto"/>
          <w:sz w:val="27"/>
          <w:u w:color="FF0000"/>
        </w:rPr>
      </w:pPr>
      <w:r>
        <w:rPr>
          <w:rFonts w:ascii="Century Schoolbook" w:hAnsi="Century Schoolbook"/>
          <w:sz w:val="27"/>
        </w:rPr>
        <w:tab/>
      </w:r>
      <w:r w:rsidRPr="0052255D" w:rsidR="00A954C3">
        <w:rPr>
          <w:rFonts w:ascii="Century Schoolbook" w:hAnsi="Century Schoolbook"/>
          <w:sz w:val="27"/>
        </w:rPr>
        <w:t>Testifying</w:t>
      </w:r>
      <w:r w:rsidRPr="0052255D" w:rsidR="00BD707F">
        <w:rPr>
          <w:rFonts w:ascii="Century Schoolbook" w:hAnsi="Century Schoolbook"/>
          <w:sz w:val="27"/>
        </w:rPr>
        <w:t xml:space="preserve"> </w:t>
      </w:r>
      <w:r w:rsidRPr="0052255D" w:rsidR="00D63D4D">
        <w:rPr>
          <w:rFonts w:ascii="Century Schoolbook" w:hAnsi="Century Schoolbook"/>
          <w:sz w:val="27"/>
        </w:rPr>
        <w:t>on his</w:t>
      </w:r>
      <w:r w:rsidRPr="0052255D" w:rsidR="00832549">
        <w:rPr>
          <w:rFonts w:ascii="Century Schoolbook" w:hAnsi="Century Schoolbook"/>
          <w:sz w:val="27"/>
        </w:rPr>
        <w:t xml:space="preserve"> own</w:t>
      </w:r>
      <w:r w:rsidRPr="0052255D" w:rsidR="00D63D4D">
        <w:rPr>
          <w:rFonts w:ascii="Century Schoolbook" w:hAnsi="Century Schoolbook"/>
          <w:sz w:val="27"/>
        </w:rPr>
        <w:t xml:space="preserve"> behalf</w:t>
      </w:r>
      <w:r w:rsidRPr="0052255D" w:rsidR="00A954C3">
        <w:rPr>
          <w:rFonts w:ascii="Century Schoolbook" w:hAnsi="Century Schoolbook"/>
          <w:sz w:val="27"/>
        </w:rPr>
        <w:t>, defendant</w:t>
      </w:r>
      <w:r w:rsidRPr="0052255D" w:rsidR="00BD707F">
        <w:rPr>
          <w:rFonts w:ascii="Century Schoolbook" w:hAnsi="Century Schoolbook"/>
          <w:sz w:val="27"/>
        </w:rPr>
        <w:t xml:space="preserve"> </w:t>
      </w:r>
      <w:r w:rsidRPr="0052255D" w:rsidR="00663561">
        <w:rPr>
          <w:rFonts w:ascii="Century Schoolbook" w:hAnsi="Century Schoolbook"/>
          <w:sz w:val="27"/>
        </w:rPr>
        <w:t>maintained that he was on good terms with Johnson and Masubayashi</w:t>
      </w:r>
      <w:r w:rsidRPr="0052255D" w:rsidR="00A954C3">
        <w:rPr>
          <w:rFonts w:ascii="Century Schoolbook" w:hAnsi="Century Schoolbook"/>
          <w:sz w:val="27"/>
        </w:rPr>
        <w:t>,</w:t>
      </w:r>
      <w:r w:rsidRPr="0052255D" w:rsidR="00663561">
        <w:rPr>
          <w:rFonts w:ascii="Century Schoolbook" w:hAnsi="Century Schoolbook"/>
          <w:sz w:val="27"/>
        </w:rPr>
        <w:t xml:space="preserve"> and </w:t>
      </w:r>
      <w:r w:rsidRPr="0052255D" w:rsidR="00B7754A">
        <w:rPr>
          <w:rFonts w:ascii="Century Schoolbook" w:hAnsi="Century Schoolbook"/>
          <w:sz w:val="27"/>
        </w:rPr>
        <w:t xml:space="preserve">denied shooting </w:t>
      </w:r>
      <w:r w:rsidRPr="0052255D" w:rsidR="00663561">
        <w:rPr>
          <w:rFonts w:ascii="Century Schoolbook" w:hAnsi="Century Schoolbook"/>
          <w:sz w:val="27"/>
        </w:rPr>
        <w:t>them</w:t>
      </w:r>
      <w:r w:rsidRPr="0052255D" w:rsidR="00B7754A">
        <w:rPr>
          <w:rFonts w:ascii="Century Schoolbook" w:hAnsi="Century Schoolbook"/>
          <w:sz w:val="27"/>
        </w:rPr>
        <w:t xml:space="preserve">.  </w:t>
      </w:r>
      <w:r w:rsidRPr="0052255D" w:rsidR="0007054F">
        <w:rPr>
          <w:rFonts w:ascii="Century Schoolbook" w:hAnsi="Century Schoolbook"/>
          <w:color w:val="auto"/>
          <w:sz w:val="27"/>
          <w:u w:color="FF0000"/>
        </w:rPr>
        <w:t xml:space="preserve">He said that on the night </w:t>
      </w:r>
      <w:r w:rsidR="00EC120F">
        <w:rPr>
          <w:rFonts w:ascii="Century Schoolbook" w:hAnsi="Century Schoolbook"/>
          <w:color w:val="auto"/>
          <w:sz w:val="27"/>
          <w:u w:color="FF0000"/>
        </w:rPr>
        <w:t>in question</w:t>
      </w:r>
      <w:r w:rsidRPr="0052255D" w:rsidR="0007054F">
        <w:rPr>
          <w:rFonts w:ascii="Century Schoolbook" w:hAnsi="Century Schoolbook"/>
          <w:color w:val="auto"/>
          <w:sz w:val="27"/>
          <w:u w:color="FF0000"/>
        </w:rPr>
        <w:t>,</w:t>
      </w:r>
      <w:r w:rsidRPr="0052255D" w:rsidR="00042B31">
        <w:rPr>
          <w:rFonts w:ascii="Century Schoolbook" w:hAnsi="Century Schoolbook"/>
          <w:color w:val="auto"/>
          <w:sz w:val="27"/>
          <w:u w:color="FF0000"/>
        </w:rPr>
        <w:t xml:space="preserve"> </w:t>
      </w:r>
      <w:r w:rsidRPr="0052255D" w:rsidR="00E5122C">
        <w:rPr>
          <w:rFonts w:ascii="Century Schoolbook" w:hAnsi="Century Schoolbook"/>
          <w:color w:val="auto"/>
          <w:sz w:val="27"/>
          <w:u w:color="FF0000"/>
        </w:rPr>
        <w:t xml:space="preserve">he and Carrillo went to </w:t>
      </w:r>
      <w:r w:rsidRPr="0052255D" w:rsidR="00004AE6">
        <w:rPr>
          <w:rFonts w:ascii="Century Schoolbook" w:hAnsi="Century Schoolbook"/>
          <w:color w:val="auto"/>
          <w:sz w:val="27"/>
          <w:u w:color="FF0000"/>
        </w:rPr>
        <w:t xml:space="preserve">Suzuki’s apartment and spoke with Johnson and Masubayashi about going out.  </w:t>
      </w:r>
      <w:r w:rsidRPr="0052255D" w:rsidR="00ED0B1C">
        <w:rPr>
          <w:rFonts w:ascii="Century Schoolbook" w:hAnsi="Century Schoolbook"/>
          <w:color w:val="auto"/>
          <w:sz w:val="27"/>
          <w:u w:color="FF0000"/>
        </w:rPr>
        <w:t>D</w:t>
      </w:r>
      <w:r w:rsidRPr="0052255D" w:rsidR="00407013">
        <w:rPr>
          <w:rFonts w:ascii="Century Schoolbook" w:hAnsi="Century Schoolbook"/>
          <w:color w:val="auto"/>
          <w:sz w:val="27"/>
          <w:u w:color="FF0000"/>
        </w:rPr>
        <w:t>efendant</w:t>
      </w:r>
      <w:r w:rsidRPr="0052255D" w:rsidR="00ED0B1C">
        <w:rPr>
          <w:rFonts w:ascii="Century Schoolbook" w:hAnsi="Century Schoolbook"/>
          <w:color w:val="auto"/>
          <w:sz w:val="27"/>
          <w:u w:color="FF0000"/>
        </w:rPr>
        <w:t xml:space="preserve"> </w:t>
      </w:r>
      <w:r w:rsidRPr="0052255D" w:rsidR="00A954C3">
        <w:rPr>
          <w:rFonts w:ascii="Century Schoolbook" w:hAnsi="Century Schoolbook"/>
          <w:color w:val="auto"/>
          <w:sz w:val="27"/>
          <w:u w:color="FF0000"/>
        </w:rPr>
        <w:t>acknowledged</w:t>
      </w:r>
      <w:r w:rsidRPr="0052255D" w:rsidR="00ED0B1C">
        <w:rPr>
          <w:rFonts w:ascii="Century Schoolbook" w:hAnsi="Century Schoolbook"/>
          <w:color w:val="auto"/>
          <w:sz w:val="27"/>
          <w:u w:color="FF0000"/>
        </w:rPr>
        <w:t xml:space="preserve"> that he</w:t>
      </w:r>
      <w:r w:rsidRPr="0052255D" w:rsidR="00407013">
        <w:rPr>
          <w:rFonts w:ascii="Century Schoolbook" w:hAnsi="Century Schoolbook"/>
          <w:color w:val="auto"/>
          <w:sz w:val="27"/>
          <w:u w:color="FF0000"/>
        </w:rPr>
        <w:t xml:space="preserve"> hid </w:t>
      </w:r>
      <w:r w:rsidR="00851616">
        <w:rPr>
          <w:rFonts w:ascii="Century Schoolbook" w:hAnsi="Century Schoolbook"/>
          <w:color w:val="auto"/>
          <w:sz w:val="27"/>
          <w:u w:color="FF0000"/>
        </w:rPr>
        <w:t>a</w:t>
      </w:r>
      <w:r w:rsidRPr="0052255D" w:rsidR="00851616">
        <w:rPr>
          <w:rFonts w:ascii="Century Schoolbook" w:hAnsi="Century Schoolbook"/>
          <w:color w:val="auto"/>
          <w:sz w:val="27"/>
          <w:u w:color="FF0000"/>
        </w:rPr>
        <w:t xml:space="preserve"> </w:t>
      </w:r>
      <w:r w:rsidRPr="0052255D" w:rsidR="00407013">
        <w:rPr>
          <w:rFonts w:ascii="Century Schoolbook" w:hAnsi="Century Schoolbook"/>
          <w:color w:val="auto"/>
          <w:sz w:val="27"/>
          <w:u w:color="FF0000"/>
        </w:rPr>
        <w:t>gun</w:t>
      </w:r>
      <w:r w:rsidR="00676A01">
        <w:rPr>
          <w:rFonts w:ascii="Century Schoolbook" w:hAnsi="Century Schoolbook"/>
          <w:color w:val="auto"/>
          <w:sz w:val="27"/>
          <w:u w:color="FF0000"/>
        </w:rPr>
        <w:t>, a .357 magnum,</w:t>
      </w:r>
      <w:r w:rsidRPr="0052255D" w:rsidR="00407013">
        <w:rPr>
          <w:rFonts w:ascii="Century Schoolbook" w:hAnsi="Century Schoolbook"/>
          <w:color w:val="auto"/>
          <w:sz w:val="27"/>
          <w:u w:color="FF0000"/>
        </w:rPr>
        <w:t xml:space="preserve"> under the tire well of a parked vehicle</w:t>
      </w:r>
      <w:r w:rsidRPr="0052255D" w:rsidR="00ED0B1C">
        <w:rPr>
          <w:rFonts w:ascii="Century Schoolbook" w:hAnsi="Century Schoolbook"/>
          <w:color w:val="auto"/>
          <w:sz w:val="27"/>
          <w:u w:color="FF0000"/>
        </w:rPr>
        <w:t xml:space="preserve"> when a police car approached the group, but </w:t>
      </w:r>
      <w:r w:rsidRPr="0052255D" w:rsidR="00A954C3">
        <w:rPr>
          <w:rFonts w:ascii="Century Schoolbook" w:hAnsi="Century Schoolbook"/>
          <w:color w:val="auto"/>
          <w:sz w:val="27"/>
          <w:u w:color="FF0000"/>
        </w:rPr>
        <w:t>testified</w:t>
      </w:r>
      <w:r w:rsidRPr="0052255D" w:rsidR="00ED0B1C">
        <w:rPr>
          <w:rFonts w:ascii="Century Schoolbook" w:hAnsi="Century Schoolbook"/>
          <w:color w:val="auto"/>
          <w:sz w:val="27"/>
          <w:u w:color="FF0000"/>
        </w:rPr>
        <w:t xml:space="preserve"> that</w:t>
      </w:r>
      <w:r w:rsidRPr="0052255D" w:rsidR="00A954C3">
        <w:rPr>
          <w:rFonts w:ascii="Century Schoolbook" w:hAnsi="Century Schoolbook"/>
          <w:color w:val="auto"/>
          <w:sz w:val="27"/>
          <w:u w:color="FF0000"/>
        </w:rPr>
        <w:t xml:space="preserve"> it was</w:t>
      </w:r>
      <w:r w:rsidRPr="0052255D" w:rsidR="00FC3143">
        <w:rPr>
          <w:rFonts w:ascii="Century Schoolbook" w:hAnsi="Century Schoolbook"/>
          <w:color w:val="auto"/>
          <w:sz w:val="27"/>
          <w:u w:color="FF0000"/>
        </w:rPr>
        <w:t xml:space="preserve"> Carrillo</w:t>
      </w:r>
      <w:r w:rsidRPr="0052255D" w:rsidR="00A954C3">
        <w:rPr>
          <w:rFonts w:ascii="Century Schoolbook" w:hAnsi="Century Schoolbook"/>
          <w:color w:val="auto"/>
          <w:sz w:val="27"/>
          <w:u w:color="FF0000"/>
        </w:rPr>
        <w:t xml:space="preserve"> who</w:t>
      </w:r>
      <w:r w:rsidRPr="0052255D" w:rsidR="00ED0B1C">
        <w:rPr>
          <w:rFonts w:ascii="Century Schoolbook" w:hAnsi="Century Schoolbook"/>
          <w:color w:val="auto"/>
          <w:sz w:val="27"/>
          <w:u w:color="FF0000"/>
        </w:rPr>
        <w:t xml:space="preserve"> </w:t>
      </w:r>
      <w:r w:rsidRPr="0052255D">
        <w:rPr>
          <w:rFonts w:ascii="Century Schoolbook" w:hAnsi="Century Schoolbook"/>
          <w:color w:val="auto"/>
          <w:sz w:val="27"/>
          <w:u w:color="FF0000"/>
        </w:rPr>
        <w:t>subsequently</w:t>
      </w:r>
      <w:r w:rsidRPr="0052255D" w:rsidR="00FC3143">
        <w:rPr>
          <w:rFonts w:ascii="Century Schoolbook" w:hAnsi="Century Schoolbook"/>
          <w:color w:val="auto"/>
          <w:sz w:val="27"/>
          <w:u w:color="FF0000"/>
        </w:rPr>
        <w:t xml:space="preserve"> retrieved the </w:t>
      </w:r>
      <w:r w:rsidRPr="0052255D" w:rsidR="00A269D0">
        <w:rPr>
          <w:rFonts w:ascii="Century Schoolbook" w:hAnsi="Century Schoolbook"/>
          <w:color w:val="auto"/>
          <w:sz w:val="27"/>
          <w:u w:color="FF0000"/>
        </w:rPr>
        <w:t>weapon</w:t>
      </w:r>
      <w:r w:rsidRPr="0052255D" w:rsidR="00B260B6">
        <w:rPr>
          <w:rFonts w:ascii="Century Schoolbook" w:hAnsi="Century Schoolbook"/>
          <w:color w:val="auto"/>
          <w:sz w:val="27"/>
          <w:u w:color="FF0000"/>
        </w:rPr>
        <w:t xml:space="preserve">.  </w:t>
      </w:r>
    </w:p>
    <w:p w:rsidR="00A7416D"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According to defendant,</w:t>
      </w:r>
      <w:r w:rsidRPr="0052255D" w:rsidR="003C2688">
        <w:rPr>
          <w:rFonts w:ascii="Century Schoolbook" w:hAnsi="Century Schoolbook"/>
          <w:color w:val="auto"/>
          <w:sz w:val="27"/>
          <w:u w:color="FF0000"/>
        </w:rPr>
        <w:t xml:space="preserve"> the foursome got into Masubayashi’s car and drove to pick up Chung</w:t>
      </w:r>
      <w:r w:rsidRPr="0052255D">
        <w:rPr>
          <w:rFonts w:ascii="Century Schoolbook" w:hAnsi="Century Schoolbook"/>
          <w:color w:val="auto"/>
          <w:sz w:val="27"/>
          <w:u w:color="FF0000"/>
        </w:rPr>
        <w:t xml:space="preserve"> at his Jeep</w:t>
      </w:r>
      <w:r w:rsidRPr="0052255D" w:rsidR="003C2688">
        <w:rPr>
          <w:rFonts w:ascii="Century Schoolbook" w:hAnsi="Century Schoolbook"/>
          <w:color w:val="auto"/>
          <w:sz w:val="27"/>
          <w:u w:color="FF0000"/>
        </w:rPr>
        <w:t xml:space="preserve">.  </w:t>
      </w:r>
      <w:r w:rsidRPr="0052255D" w:rsidR="009E2285">
        <w:rPr>
          <w:rFonts w:ascii="Century Schoolbook" w:hAnsi="Century Schoolbook"/>
          <w:color w:val="auto"/>
          <w:sz w:val="27"/>
          <w:u w:color="FF0000"/>
        </w:rPr>
        <w:t xml:space="preserve">Defendant testified that </w:t>
      </w:r>
      <w:r w:rsidRPr="0052255D" w:rsidR="00BD707F">
        <w:rPr>
          <w:rFonts w:ascii="Century Schoolbook" w:hAnsi="Century Schoolbook"/>
          <w:color w:val="auto"/>
          <w:sz w:val="27"/>
          <w:u w:color="FF0000"/>
        </w:rPr>
        <w:t xml:space="preserve">Masubayashi parked his car next to </w:t>
      </w:r>
      <w:r w:rsidRPr="0052255D" w:rsidR="00DA02B0">
        <w:rPr>
          <w:rFonts w:ascii="Century Schoolbook" w:hAnsi="Century Schoolbook"/>
          <w:color w:val="auto"/>
          <w:sz w:val="27"/>
          <w:u w:color="FF0000"/>
        </w:rPr>
        <w:t>Chung’s</w:t>
      </w:r>
      <w:r w:rsidRPr="0052255D" w:rsidR="00BD707F">
        <w:rPr>
          <w:rFonts w:ascii="Century Schoolbook" w:hAnsi="Century Schoolbook"/>
          <w:color w:val="auto"/>
          <w:sz w:val="27"/>
          <w:u w:color="FF0000"/>
        </w:rPr>
        <w:t xml:space="preserve"> Jeep and Johnson let </w:t>
      </w:r>
      <w:r w:rsidRPr="0052255D" w:rsidR="00DA02B0">
        <w:rPr>
          <w:rFonts w:ascii="Century Schoolbook" w:hAnsi="Century Schoolbook"/>
          <w:color w:val="auto"/>
          <w:sz w:val="27"/>
          <w:u w:color="FF0000"/>
        </w:rPr>
        <w:t>defendant</w:t>
      </w:r>
      <w:r w:rsidRPr="0052255D" w:rsidR="00BD707F">
        <w:rPr>
          <w:rFonts w:ascii="Century Schoolbook" w:hAnsi="Century Schoolbook"/>
          <w:color w:val="auto"/>
          <w:sz w:val="27"/>
          <w:u w:color="FF0000"/>
        </w:rPr>
        <w:t xml:space="preserve"> out of the car.  </w:t>
      </w:r>
      <w:r w:rsidRPr="0052255D" w:rsidR="009E2285">
        <w:rPr>
          <w:rFonts w:ascii="Century Schoolbook" w:hAnsi="Century Schoolbook"/>
          <w:color w:val="auto"/>
          <w:sz w:val="27"/>
          <w:u w:color="FF0000"/>
        </w:rPr>
        <w:t>As defendant was</w:t>
      </w:r>
      <w:r w:rsidRPr="0052255D" w:rsidR="00E65E10">
        <w:rPr>
          <w:rFonts w:ascii="Century Schoolbook" w:hAnsi="Century Schoolbook"/>
          <w:color w:val="auto"/>
          <w:sz w:val="27"/>
          <w:u w:color="FF0000"/>
        </w:rPr>
        <w:t xml:space="preserve"> walking toward the Jeep</w:t>
      </w:r>
      <w:r w:rsidRPr="0052255D" w:rsidR="009E2285">
        <w:rPr>
          <w:rFonts w:ascii="Century Schoolbook" w:hAnsi="Century Schoolbook"/>
          <w:color w:val="auto"/>
          <w:sz w:val="27"/>
          <w:u w:color="FF0000"/>
        </w:rPr>
        <w:t>,</w:t>
      </w:r>
      <w:r w:rsidRPr="0052255D" w:rsidR="00E65E10">
        <w:rPr>
          <w:rFonts w:ascii="Century Schoolbook" w:hAnsi="Century Schoolbook"/>
          <w:color w:val="auto"/>
          <w:sz w:val="27"/>
          <w:u w:color="FF0000"/>
        </w:rPr>
        <w:t xml:space="preserve"> he</w:t>
      </w:r>
      <w:r w:rsidRPr="0052255D" w:rsidR="00DA02B0">
        <w:rPr>
          <w:rFonts w:ascii="Century Schoolbook" w:hAnsi="Century Schoolbook"/>
          <w:color w:val="auto"/>
          <w:sz w:val="27"/>
          <w:u w:color="FF0000"/>
        </w:rPr>
        <w:t xml:space="preserve"> </w:t>
      </w:r>
      <w:r w:rsidRPr="0052255D" w:rsidR="00BD707F">
        <w:rPr>
          <w:rFonts w:ascii="Century Schoolbook" w:hAnsi="Century Schoolbook"/>
          <w:color w:val="auto"/>
          <w:sz w:val="27"/>
          <w:u w:color="FF0000"/>
        </w:rPr>
        <w:t xml:space="preserve">heard two </w:t>
      </w:r>
      <w:r w:rsidRPr="0052255D" w:rsidR="009E2285">
        <w:rPr>
          <w:rFonts w:ascii="Century Schoolbook" w:hAnsi="Century Schoolbook"/>
          <w:color w:val="auto"/>
          <w:sz w:val="27"/>
          <w:u w:color="FF0000"/>
        </w:rPr>
        <w:t>gun</w:t>
      </w:r>
      <w:r w:rsidRPr="0052255D" w:rsidR="00BD707F">
        <w:rPr>
          <w:rFonts w:ascii="Century Schoolbook" w:hAnsi="Century Schoolbook"/>
          <w:color w:val="auto"/>
          <w:sz w:val="27"/>
          <w:u w:color="FF0000"/>
        </w:rPr>
        <w:t xml:space="preserve">shots, turned around, and saw Carrillo’s arm in Masubayashi’s car.  </w:t>
      </w:r>
      <w:r w:rsidR="00EC46D8">
        <w:rPr>
          <w:rFonts w:ascii="Century Schoolbook" w:hAnsi="Century Schoolbook"/>
          <w:color w:val="auto"/>
          <w:sz w:val="27"/>
          <w:u w:color="FF0000"/>
        </w:rPr>
        <w:t xml:space="preserve">Defendant </w:t>
      </w:r>
      <w:r w:rsidR="00751719">
        <w:rPr>
          <w:rFonts w:ascii="Century Schoolbook" w:hAnsi="Century Schoolbook"/>
          <w:color w:val="auto"/>
          <w:sz w:val="27"/>
          <w:u w:color="FF0000"/>
        </w:rPr>
        <w:t xml:space="preserve">related that </w:t>
      </w:r>
      <w:r w:rsidRPr="0052255D" w:rsidR="009E2285">
        <w:rPr>
          <w:rFonts w:ascii="Century Schoolbook" w:hAnsi="Century Schoolbook"/>
          <w:color w:val="auto"/>
          <w:sz w:val="27"/>
          <w:u w:color="FF0000"/>
        </w:rPr>
        <w:t xml:space="preserve">he </w:t>
      </w:r>
      <w:r w:rsidRPr="0052255D" w:rsidR="00BD707F">
        <w:rPr>
          <w:rFonts w:ascii="Century Schoolbook" w:hAnsi="Century Schoolbook"/>
          <w:color w:val="auto"/>
          <w:sz w:val="27"/>
          <w:u w:color="FF0000"/>
        </w:rPr>
        <w:t>pushed Carrillo up against the car</w:t>
      </w:r>
      <w:r w:rsidRPr="0052255D" w:rsidR="009E2285">
        <w:rPr>
          <w:rFonts w:ascii="Century Schoolbook" w:hAnsi="Century Schoolbook"/>
          <w:color w:val="auto"/>
          <w:sz w:val="27"/>
          <w:u w:color="FF0000"/>
        </w:rPr>
        <w:t xml:space="preserve"> and yelled,</w:t>
      </w:r>
      <w:r w:rsidRPr="0052255D" w:rsidR="00AF0EC4">
        <w:rPr>
          <w:rFonts w:ascii="Century Schoolbook" w:hAnsi="Century Schoolbook"/>
          <w:color w:val="auto"/>
          <w:sz w:val="27"/>
          <w:u w:color="FF0000"/>
        </w:rPr>
        <w:t xml:space="preserve"> </w:t>
      </w:r>
      <w:r w:rsidRPr="0052255D" w:rsidR="00BD707F">
        <w:rPr>
          <w:rFonts w:ascii="Century Schoolbook" w:hAnsi="Century Schoolbook"/>
          <w:color w:val="auto"/>
          <w:sz w:val="27"/>
          <w:u w:color="FF0000"/>
        </w:rPr>
        <w:t xml:space="preserve">“What the fuck are you doing?”  Carrillo </w:t>
      </w:r>
      <w:r w:rsidRPr="0052255D" w:rsidR="009E2285">
        <w:rPr>
          <w:rFonts w:ascii="Century Schoolbook" w:hAnsi="Century Schoolbook"/>
          <w:color w:val="auto"/>
          <w:sz w:val="27"/>
          <w:u w:color="FF0000"/>
        </w:rPr>
        <w:t>replied</w:t>
      </w:r>
      <w:r w:rsidRPr="0052255D" w:rsidR="00C94DF8">
        <w:rPr>
          <w:rFonts w:ascii="Century Schoolbook" w:hAnsi="Century Schoolbook"/>
          <w:color w:val="auto"/>
          <w:sz w:val="27"/>
          <w:u w:color="FF0000"/>
        </w:rPr>
        <w:t>, “It’s a setup, man.  It’s a setup</w:t>
      </w:r>
      <w:r w:rsidRPr="0052255D" w:rsidR="00BD707F">
        <w:rPr>
          <w:rFonts w:ascii="Century Schoolbook" w:hAnsi="Century Schoolbook"/>
          <w:color w:val="auto"/>
          <w:sz w:val="27"/>
          <w:u w:color="FF0000"/>
        </w:rPr>
        <w:t>.</w:t>
      </w:r>
      <w:r w:rsidRPr="0052255D" w:rsidR="00C94DF8">
        <w:rPr>
          <w:rFonts w:ascii="Century Schoolbook" w:hAnsi="Century Schoolbook"/>
          <w:color w:val="auto"/>
          <w:sz w:val="27"/>
          <w:u w:color="FF0000"/>
        </w:rPr>
        <w:t>”</w:t>
      </w:r>
      <w:r w:rsidRPr="0052255D" w:rsidR="00BD707F">
        <w:rPr>
          <w:rFonts w:ascii="Century Schoolbook" w:hAnsi="Century Schoolbook"/>
          <w:color w:val="auto"/>
          <w:sz w:val="27"/>
          <w:u w:color="FF0000"/>
        </w:rPr>
        <w:t xml:space="preserve">  </w:t>
      </w:r>
    </w:p>
    <w:p w:rsidR="00BD707F"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Defendant </w:t>
      </w:r>
      <w:r w:rsidR="00BF3416">
        <w:rPr>
          <w:rFonts w:ascii="Century Schoolbook" w:hAnsi="Century Schoolbook"/>
          <w:color w:val="auto"/>
          <w:sz w:val="27"/>
          <w:u w:color="FF0000"/>
        </w:rPr>
        <w:t xml:space="preserve">testified that he </w:t>
      </w:r>
      <w:r w:rsidRPr="0052255D" w:rsidR="006A1E33">
        <w:rPr>
          <w:rFonts w:ascii="Century Schoolbook" w:hAnsi="Century Schoolbook"/>
          <w:color w:val="auto"/>
          <w:sz w:val="27"/>
          <w:u w:color="FF0000"/>
        </w:rPr>
        <w:t>saw</w:t>
      </w:r>
      <w:r w:rsidRPr="0052255D">
        <w:rPr>
          <w:rFonts w:ascii="Century Schoolbook" w:hAnsi="Century Schoolbook"/>
          <w:color w:val="auto"/>
          <w:sz w:val="27"/>
          <w:u w:color="FF0000"/>
        </w:rPr>
        <w:t xml:space="preserve"> M</w:t>
      </w:r>
      <w:r w:rsidRPr="0052255D">
        <w:rPr>
          <w:rFonts w:ascii="Century Schoolbook" w:hAnsi="Century Schoolbook"/>
          <w:color w:val="auto"/>
          <w:sz w:val="27"/>
          <w:u w:color="FF0000"/>
        </w:rPr>
        <w:t>asubayashi r</w:t>
      </w:r>
      <w:r w:rsidRPr="0052255D" w:rsidR="006A1E33">
        <w:rPr>
          <w:rFonts w:ascii="Century Schoolbook" w:hAnsi="Century Schoolbook"/>
          <w:color w:val="auto"/>
          <w:sz w:val="27"/>
          <w:u w:color="FF0000"/>
        </w:rPr>
        <w:t>u</w:t>
      </w:r>
      <w:r w:rsidRPr="0052255D">
        <w:rPr>
          <w:rFonts w:ascii="Century Schoolbook" w:hAnsi="Century Schoolbook"/>
          <w:color w:val="auto"/>
          <w:sz w:val="27"/>
          <w:u w:color="FF0000"/>
        </w:rPr>
        <w:t xml:space="preserve">n from the car </w:t>
      </w:r>
      <w:r w:rsidRPr="0052255D" w:rsidR="006A1E33">
        <w:rPr>
          <w:rFonts w:ascii="Century Schoolbook" w:hAnsi="Century Schoolbook"/>
          <w:color w:val="auto"/>
          <w:sz w:val="27"/>
          <w:u w:color="FF0000"/>
        </w:rPr>
        <w:t>as</w:t>
      </w:r>
      <w:r w:rsidRPr="0052255D">
        <w:rPr>
          <w:rFonts w:ascii="Century Schoolbook" w:hAnsi="Century Schoolbook"/>
          <w:color w:val="auto"/>
          <w:sz w:val="27"/>
          <w:u w:color="FF0000"/>
        </w:rPr>
        <w:t xml:space="preserve"> Carrillo </w:t>
      </w:r>
      <w:r w:rsidRPr="0052255D" w:rsidR="005A2E36">
        <w:rPr>
          <w:rFonts w:ascii="Century Schoolbook" w:hAnsi="Century Schoolbook"/>
          <w:color w:val="auto"/>
          <w:sz w:val="27"/>
          <w:u w:color="FF0000"/>
        </w:rPr>
        <w:t>followed</w:t>
      </w:r>
      <w:r w:rsidRPr="0052255D">
        <w:rPr>
          <w:rFonts w:ascii="Century Schoolbook" w:hAnsi="Century Schoolbook"/>
          <w:color w:val="auto"/>
          <w:sz w:val="27"/>
          <w:u w:color="FF0000"/>
        </w:rPr>
        <w:t xml:space="preserve"> and </w:t>
      </w:r>
      <w:r w:rsidRPr="0052255D" w:rsidR="005A2E36">
        <w:rPr>
          <w:rFonts w:ascii="Century Schoolbook" w:hAnsi="Century Schoolbook"/>
          <w:color w:val="auto"/>
          <w:sz w:val="27"/>
          <w:u w:color="FF0000"/>
        </w:rPr>
        <w:t>shot</w:t>
      </w:r>
      <w:r w:rsidRPr="0052255D">
        <w:rPr>
          <w:rFonts w:ascii="Century Schoolbook" w:hAnsi="Century Schoolbook"/>
          <w:color w:val="auto"/>
          <w:sz w:val="27"/>
          <w:u w:color="FF0000"/>
        </w:rPr>
        <w:t xml:space="preserve"> at him.  </w:t>
      </w:r>
      <w:r w:rsidRPr="0052255D" w:rsidR="00A7416D">
        <w:rPr>
          <w:rFonts w:ascii="Century Schoolbook" w:hAnsi="Century Schoolbook"/>
          <w:color w:val="000000" w:themeColor="text1"/>
          <w:sz w:val="27"/>
          <w:u w:color="FF0000"/>
        </w:rPr>
        <w:t xml:space="preserve">Defendant maintained that </w:t>
      </w:r>
      <w:r w:rsidRPr="0052255D">
        <w:rPr>
          <w:rFonts w:ascii="Century Schoolbook" w:hAnsi="Century Schoolbook"/>
          <w:color w:val="000000" w:themeColor="text1"/>
          <w:sz w:val="27"/>
          <w:u w:color="FF0000"/>
        </w:rPr>
        <w:t>C</w:t>
      </w:r>
      <w:r w:rsidRPr="0052255D">
        <w:rPr>
          <w:rFonts w:ascii="Century Schoolbook" w:hAnsi="Century Schoolbook"/>
          <w:color w:val="auto"/>
          <w:sz w:val="27"/>
          <w:u w:color="FF0000"/>
        </w:rPr>
        <w:t xml:space="preserve">arrillo returned to the </w:t>
      </w:r>
      <w:r w:rsidRPr="0052255D">
        <w:rPr>
          <w:rFonts w:ascii="Century Schoolbook" w:hAnsi="Century Schoolbook"/>
          <w:color w:val="auto"/>
          <w:sz w:val="27"/>
          <w:u w:color="FF0000"/>
        </w:rPr>
        <w:t>Jeep</w:t>
      </w:r>
      <w:r w:rsidRPr="0052255D">
        <w:rPr>
          <w:rFonts w:ascii="Century Schoolbook" w:hAnsi="Century Schoolbook"/>
          <w:color w:val="auto"/>
          <w:sz w:val="27"/>
          <w:u w:color="FF0000"/>
        </w:rPr>
        <w:t xml:space="preserve"> and yelled, “Let’s go</w:t>
      </w:r>
      <w:r w:rsidRPr="0052255D" w:rsidR="00A401CF">
        <w:rPr>
          <w:rFonts w:ascii="Century Schoolbook" w:hAnsi="Century Schoolbook"/>
          <w:color w:val="auto"/>
          <w:sz w:val="27"/>
          <w:u w:color="FF0000"/>
        </w:rPr>
        <w:t>, let’s go, let’s go</w:t>
      </w:r>
      <w:r w:rsidRPr="0052255D">
        <w:rPr>
          <w:rFonts w:ascii="Century Schoolbook" w:hAnsi="Century Schoolbook"/>
          <w:color w:val="auto"/>
          <w:sz w:val="27"/>
          <w:u w:color="FF0000"/>
        </w:rPr>
        <w:t>.”  Defendant</w:t>
      </w:r>
      <w:r w:rsidRPr="0052255D" w:rsidR="00A269D0">
        <w:rPr>
          <w:rFonts w:ascii="Century Schoolbook" w:hAnsi="Century Schoolbook"/>
          <w:color w:val="auto"/>
          <w:sz w:val="27"/>
          <w:u w:color="FF0000"/>
        </w:rPr>
        <w:t xml:space="preserve"> conceded that he</w:t>
      </w:r>
      <w:r w:rsidRPr="0052255D">
        <w:rPr>
          <w:rFonts w:ascii="Century Schoolbook" w:hAnsi="Century Schoolbook"/>
          <w:color w:val="auto"/>
          <w:sz w:val="27"/>
          <w:u w:color="FF0000"/>
        </w:rPr>
        <w:t xml:space="preserve"> </w:t>
      </w:r>
      <w:r w:rsidRPr="0052255D" w:rsidR="006F32F1">
        <w:rPr>
          <w:rFonts w:ascii="Century Schoolbook" w:hAnsi="Century Schoolbook"/>
          <w:color w:val="auto"/>
          <w:sz w:val="27"/>
          <w:u w:color="FF0000"/>
        </w:rPr>
        <w:t>instructed the driver</w:t>
      </w:r>
      <w:r w:rsidRPr="0052255D">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to </w:t>
      </w:r>
      <w:r w:rsidRPr="0052255D">
        <w:rPr>
          <w:rFonts w:ascii="Century Schoolbook" w:hAnsi="Century Schoolbook"/>
          <w:color w:val="auto"/>
          <w:sz w:val="27"/>
          <w:u w:color="FF0000"/>
        </w:rPr>
        <w:t>“</w:t>
      </w:r>
      <w:r w:rsidRPr="0052255D">
        <w:rPr>
          <w:rFonts w:ascii="Century Schoolbook" w:hAnsi="Century Schoolbook"/>
          <w:color w:val="auto"/>
          <w:sz w:val="27"/>
          <w:u w:color="FF0000"/>
        </w:rPr>
        <w:t>go get</w:t>
      </w:r>
      <w:r w:rsidRPr="0052255D">
        <w:rPr>
          <w:rFonts w:ascii="Century Schoolbook" w:hAnsi="Century Schoolbook"/>
          <w:color w:val="auto"/>
          <w:sz w:val="27"/>
          <w:u w:color="FF0000"/>
        </w:rPr>
        <w:t>”</w:t>
      </w:r>
      <w:r w:rsidRPr="0052255D">
        <w:rPr>
          <w:rFonts w:ascii="Century Schoolbook" w:hAnsi="Century Schoolbook"/>
          <w:color w:val="auto"/>
          <w:sz w:val="27"/>
          <w:u w:color="FF0000"/>
        </w:rPr>
        <w:t xml:space="preserve"> Masubayashi, </w:t>
      </w:r>
      <w:r w:rsidRPr="0052255D" w:rsidR="002A1F96">
        <w:rPr>
          <w:rFonts w:ascii="Century Schoolbook" w:hAnsi="Century Schoolbook"/>
          <w:color w:val="auto"/>
          <w:sz w:val="27"/>
          <w:u w:color="FF0000"/>
        </w:rPr>
        <w:t xml:space="preserve">but </w:t>
      </w:r>
      <w:r w:rsidR="0000455D">
        <w:rPr>
          <w:rFonts w:ascii="Century Schoolbook" w:hAnsi="Century Schoolbook"/>
          <w:color w:val="auto"/>
          <w:sz w:val="27"/>
          <w:u w:color="FF0000"/>
        </w:rPr>
        <w:t xml:space="preserve">maintained </w:t>
      </w:r>
      <w:r w:rsidRPr="0052255D" w:rsidR="002A1F96">
        <w:rPr>
          <w:rFonts w:ascii="Century Schoolbook" w:hAnsi="Century Schoolbook"/>
          <w:color w:val="auto"/>
          <w:sz w:val="27"/>
          <w:u w:color="FF0000"/>
        </w:rPr>
        <w:t>that</w:t>
      </w:r>
      <w:r w:rsidRPr="0052255D">
        <w:rPr>
          <w:rFonts w:ascii="Century Schoolbook" w:hAnsi="Century Schoolbook"/>
          <w:color w:val="auto"/>
          <w:sz w:val="27"/>
          <w:u w:color="FF0000"/>
        </w:rPr>
        <w:t xml:space="preserve"> he </w:t>
      </w:r>
      <w:r w:rsidRPr="0052255D" w:rsidR="00534A65">
        <w:rPr>
          <w:rFonts w:ascii="Century Schoolbook" w:hAnsi="Century Schoolbook"/>
          <w:color w:val="auto"/>
          <w:sz w:val="27"/>
          <w:u w:color="FF0000"/>
        </w:rPr>
        <w:t xml:space="preserve">intended </w:t>
      </w:r>
      <w:r w:rsidRPr="0052255D">
        <w:rPr>
          <w:rFonts w:ascii="Century Schoolbook" w:hAnsi="Century Schoolbook"/>
          <w:color w:val="auto"/>
          <w:sz w:val="27"/>
          <w:u w:color="FF0000"/>
        </w:rPr>
        <w:t xml:space="preserve">to help </w:t>
      </w:r>
      <w:r w:rsidRPr="0052255D" w:rsidR="002A1F96">
        <w:rPr>
          <w:rFonts w:ascii="Century Schoolbook" w:hAnsi="Century Schoolbook"/>
          <w:color w:val="auto"/>
          <w:sz w:val="27"/>
          <w:u w:color="FF0000"/>
        </w:rPr>
        <w:t>Masu</w:t>
      </w:r>
      <w:r w:rsidRPr="0052255D" w:rsidR="00534A65">
        <w:rPr>
          <w:rFonts w:ascii="Century Schoolbook" w:hAnsi="Century Schoolbook"/>
          <w:color w:val="auto"/>
          <w:sz w:val="27"/>
          <w:u w:color="FF0000"/>
        </w:rPr>
        <w:t>bayashi</w:t>
      </w:r>
      <w:r w:rsidRPr="0052255D">
        <w:rPr>
          <w:rFonts w:ascii="Century Schoolbook" w:hAnsi="Century Schoolbook"/>
          <w:color w:val="auto"/>
          <w:sz w:val="27"/>
          <w:u w:color="FF0000"/>
        </w:rPr>
        <w:t>, not run him over.</w:t>
      </w:r>
      <w:r>
        <w:rPr>
          <w:rStyle w:val="FootnoteReference"/>
          <w:color w:val="auto"/>
          <w:u w:color="FF0000"/>
        </w:rPr>
        <w:footnoteReference w:id="6"/>
      </w:r>
      <w:r w:rsidRPr="0052255D">
        <w:rPr>
          <w:rFonts w:ascii="Century Schoolbook" w:hAnsi="Century Schoolbook"/>
          <w:color w:val="auto"/>
          <w:sz w:val="27"/>
          <w:u w:color="FF0000"/>
        </w:rPr>
        <w:t xml:space="preserve">  Carrillo began screaming, “Yeah, we’ve got to get him.  We’ve got to get him.  He seen us.  He knows where we live.  We’ve got to do this.  We got to finish him.”  Defendant told the group to stop the Jeep</w:t>
      </w:r>
      <w:r w:rsidRPr="0052255D" w:rsidR="00534A65">
        <w:rPr>
          <w:rFonts w:ascii="Century Schoolbook" w:hAnsi="Century Schoolbook"/>
          <w:color w:val="auto"/>
          <w:sz w:val="27"/>
          <w:u w:color="FF0000"/>
        </w:rPr>
        <w:t xml:space="preserve"> because </w:t>
      </w:r>
      <w:r w:rsidR="00BE5705">
        <w:rPr>
          <w:rFonts w:ascii="Century Schoolbook" w:hAnsi="Century Schoolbook"/>
          <w:color w:val="auto"/>
          <w:sz w:val="27"/>
          <w:u w:color="FF0000"/>
        </w:rPr>
        <w:t>he “wasn’t going to be a part of it,”</w:t>
      </w:r>
      <w:r w:rsidR="00953994">
        <w:rPr>
          <w:rFonts w:ascii="Century Schoolbook" w:hAnsi="Century Schoolbook"/>
          <w:color w:val="auto"/>
          <w:sz w:val="27"/>
          <w:u w:color="FF0000"/>
        </w:rPr>
        <w:t xml:space="preserve"> </w:t>
      </w:r>
      <w:r w:rsidRPr="0052255D" w:rsidR="00020645">
        <w:rPr>
          <w:rFonts w:ascii="Century Schoolbook" w:hAnsi="Century Schoolbook"/>
          <w:color w:val="auto"/>
          <w:sz w:val="27"/>
          <w:u w:color="FF0000"/>
        </w:rPr>
        <w:t xml:space="preserve">and he </w:t>
      </w:r>
      <w:r w:rsidRPr="0052255D" w:rsidR="008556FB">
        <w:rPr>
          <w:rFonts w:ascii="Century Schoolbook" w:hAnsi="Century Schoolbook"/>
          <w:color w:val="auto"/>
          <w:sz w:val="27"/>
          <w:u w:color="FF0000"/>
        </w:rPr>
        <w:t xml:space="preserve">got out of the car and </w:t>
      </w:r>
      <w:r w:rsidRPr="0052255D">
        <w:rPr>
          <w:rFonts w:ascii="Century Schoolbook" w:hAnsi="Century Schoolbook"/>
          <w:color w:val="auto"/>
          <w:sz w:val="27"/>
          <w:u w:color="FF0000"/>
        </w:rPr>
        <w:t>started running</w:t>
      </w:r>
      <w:r w:rsidRPr="0052255D" w:rsidR="008556FB">
        <w:rPr>
          <w:rFonts w:ascii="Century Schoolbook" w:hAnsi="Century Schoolbook"/>
          <w:color w:val="auto"/>
          <w:sz w:val="27"/>
          <w:u w:color="FF0000"/>
        </w:rPr>
        <w:t xml:space="preserve">.  </w:t>
      </w:r>
    </w:p>
    <w:p w:rsidR="004F3CB8"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Defendant </w:t>
      </w:r>
      <w:r w:rsidRPr="0052255D" w:rsidR="00687E9C">
        <w:rPr>
          <w:rFonts w:ascii="Century Schoolbook" w:hAnsi="Century Schoolbook"/>
          <w:color w:val="auto"/>
          <w:sz w:val="27"/>
          <w:u w:color="FF0000"/>
        </w:rPr>
        <w:t xml:space="preserve">testified that he </w:t>
      </w:r>
      <w:r w:rsidRPr="0052255D">
        <w:rPr>
          <w:rFonts w:ascii="Century Schoolbook" w:hAnsi="Century Schoolbook"/>
          <w:color w:val="auto"/>
          <w:sz w:val="27"/>
          <w:u w:color="FF0000"/>
        </w:rPr>
        <w:t>made his way to Quiambao’s house, where he met Carrillo</w:t>
      </w:r>
      <w:r w:rsidRPr="0052255D" w:rsidR="00DD35F4">
        <w:rPr>
          <w:rFonts w:ascii="Century Schoolbook" w:hAnsi="Century Schoolbook"/>
          <w:color w:val="auto"/>
          <w:sz w:val="27"/>
          <w:u w:color="FF0000"/>
        </w:rPr>
        <w:t xml:space="preserve"> outside</w:t>
      </w:r>
      <w:r w:rsidRPr="0052255D">
        <w:rPr>
          <w:rFonts w:ascii="Century Schoolbook" w:hAnsi="Century Schoolbook"/>
          <w:color w:val="auto"/>
          <w:sz w:val="27"/>
          <w:u w:color="FF0000"/>
        </w:rPr>
        <w:t xml:space="preserve">.  </w:t>
      </w:r>
      <w:r w:rsidR="002315D8">
        <w:rPr>
          <w:rFonts w:ascii="Century Schoolbook" w:hAnsi="Century Schoolbook"/>
          <w:color w:val="auto"/>
          <w:sz w:val="27"/>
          <w:u w:color="FF0000"/>
        </w:rPr>
        <w:t xml:space="preserve">Defendant asked </w:t>
      </w:r>
      <w:r w:rsidRPr="0052255D" w:rsidR="00DD35F4">
        <w:rPr>
          <w:rFonts w:ascii="Century Schoolbook" w:hAnsi="Century Schoolbook"/>
          <w:color w:val="auto"/>
          <w:sz w:val="27"/>
          <w:u w:color="FF0000"/>
        </w:rPr>
        <w:t xml:space="preserve">Carrillo </w:t>
      </w:r>
      <w:r w:rsidR="00B17016">
        <w:rPr>
          <w:rFonts w:ascii="Century Schoolbook" w:hAnsi="Century Schoolbook"/>
          <w:color w:val="auto"/>
          <w:sz w:val="27"/>
          <w:u w:color="FF0000"/>
        </w:rPr>
        <w:t>why he shot Johnson and Masubayashi.  Carrillo replied</w:t>
      </w:r>
      <w:r w:rsidRPr="0052255D" w:rsidR="008151D4">
        <w:rPr>
          <w:rFonts w:ascii="Century Schoolbook" w:hAnsi="Century Schoolbook"/>
          <w:color w:val="auto"/>
          <w:sz w:val="27"/>
          <w:u w:color="FF0000"/>
        </w:rPr>
        <w:t xml:space="preserve"> </w:t>
      </w:r>
      <w:r w:rsidRPr="00B17016" w:rsidR="008151D4">
        <w:rPr>
          <w:rFonts w:ascii="Century Schoolbook" w:hAnsi="Century Schoolbook"/>
          <w:color w:val="auto"/>
          <w:sz w:val="27"/>
          <w:u w:color="FF0000"/>
        </w:rPr>
        <w:t xml:space="preserve">that </w:t>
      </w:r>
      <w:r w:rsidR="00B17016">
        <w:rPr>
          <w:rFonts w:ascii="Century Schoolbook" w:hAnsi="Century Schoolbook"/>
          <w:color w:val="auto"/>
          <w:sz w:val="27"/>
          <w:u w:color="FF0000"/>
        </w:rPr>
        <w:t>“</w:t>
      </w:r>
      <w:r w:rsidRPr="00B17016" w:rsidR="008151D4">
        <w:rPr>
          <w:rFonts w:ascii="Century Schoolbook" w:hAnsi="Century Schoolbook"/>
          <w:color w:val="auto"/>
          <w:sz w:val="27"/>
          <w:u w:color="FF0000"/>
        </w:rPr>
        <w:t>it was a setup</w:t>
      </w:r>
      <w:r w:rsidR="00B17016">
        <w:rPr>
          <w:rFonts w:ascii="Century Schoolbook" w:hAnsi="Century Schoolbook"/>
          <w:color w:val="auto"/>
          <w:sz w:val="27"/>
          <w:u w:color="FF0000"/>
        </w:rPr>
        <w:t>”</w:t>
      </w:r>
      <w:r w:rsidRPr="0052255D" w:rsidR="008151D4">
        <w:rPr>
          <w:rFonts w:ascii="Century Schoolbook" w:hAnsi="Century Schoolbook"/>
          <w:color w:val="auto"/>
          <w:sz w:val="27"/>
          <w:u w:color="FF0000"/>
        </w:rPr>
        <w:t xml:space="preserve"> and claimed that Masubayashi had a gun.  Once inside, </w:t>
      </w:r>
      <w:r w:rsidRPr="0052255D" w:rsidR="008F45C9">
        <w:rPr>
          <w:rFonts w:ascii="Century Schoolbook" w:hAnsi="Century Schoolbook"/>
          <w:color w:val="auto"/>
          <w:sz w:val="27"/>
          <w:u w:color="FF0000"/>
        </w:rPr>
        <w:t xml:space="preserve">Quiambao asked defendant why he had shot Johnson.  </w:t>
      </w:r>
      <w:r w:rsidRPr="0052255D" w:rsidR="00814646">
        <w:rPr>
          <w:rFonts w:ascii="Century Schoolbook" w:hAnsi="Century Schoolbook"/>
          <w:color w:val="auto"/>
          <w:sz w:val="27"/>
          <w:u w:color="FF0000"/>
        </w:rPr>
        <w:t>D</w:t>
      </w:r>
      <w:r w:rsidRPr="0052255D" w:rsidR="008F45C9">
        <w:rPr>
          <w:rFonts w:ascii="Century Schoolbook" w:hAnsi="Century Schoolbook"/>
          <w:color w:val="auto"/>
          <w:sz w:val="27"/>
          <w:u w:color="FF0000"/>
        </w:rPr>
        <w:t>efendant did not respond and looked at Carrillo</w:t>
      </w:r>
      <w:r w:rsidRPr="0052255D" w:rsidR="00814646">
        <w:rPr>
          <w:rFonts w:ascii="Century Schoolbook" w:hAnsi="Century Schoolbook"/>
          <w:color w:val="auto"/>
          <w:sz w:val="27"/>
          <w:u w:color="FF0000"/>
        </w:rPr>
        <w:t xml:space="preserve"> and Quiambao</w:t>
      </w:r>
      <w:r w:rsidRPr="0052255D" w:rsidR="008F45C9">
        <w:rPr>
          <w:rFonts w:ascii="Century Schoolbook" w:hAnsi="Century Schoolbook"/>
          <w:color w:val="auto"/>
          <w:sz w:val="27"/>
          <w:u w:color="FF0000"/>
        </w:rPr>
        <w:t xml:space="preserve">.  </w:t>
      </w:r>
      <w:r w:rsidR="002501FC">
        <w:rPr>
          <w:rFonts w:ascii="Century Schoolbook" w:hAnsi="Century Schoolbook"/>
          <w:color w:val="auto"/>
          <w:sz w:val="27"/>
          <w:u w:color="FF0000"/>
        </w:rPr>
        <w:t xml:space="preserve">He then asked Quiambao to get him something to drink.  </w:t>
      </w:r>
      <w:r w:rsidRPr="0052255D">
        <w:rPr>
          <w:rFonts w:ascii="Century Schoolbook" w:hAnsi="Century Schoolbook"/>
          <w:color w:val="auto"/>
          <w:sz w:val="27"/>
          <w:u w:color="FF0000"/>
        </w:rPr>
        <w:t xml:space="preserve">When Quiambao left the room, defendant asked Carrillo what he had told Quiambao.  </w:t>
      </w:r>
      <w:r w:rsidRPr="0052255D" w:rsidR="001B671A">
        <w:rPr>
          <w:rFonts w:ascii="Century Schoolbook" w:hAnsi="Century Schoolbook"/>
          <w:color w:val="auto"/>
          <w:sz w:val="27"/>
          <w:u w:color="FF0000"/>
        </w:rPr>
        <w:t xml:space="preserve">According to defendant, </w:t>
      </w:r>
      <w:r w:rsidRPr="0052255D">
        <w:rPr>
          <w:rFonts w:ascii="Century Schoolbook" w:hAnsi="Century Schoolbook"/>
          <w:color w:val="auto"/>
          <w:sz w:val="27"/>
          <w:u w:color="FF0000"/>
        </w:rPr>
        <w:t>Carrillo responded that he thought defendant was in jail and he did not know what to do</w:t>
      </w:r>
      <w:r w:rsidRPr="0052255D" w:rsidR="00E80D3A">
        <w:rPr>
          <w:rFonts w:ascii="Century Schoolbook" w:hAnsi="Century Schoolbook"/>
          <w:color w:val="auto"/>
          <w:sz w:val="27"/>
          <w:u w:color="FF0000"/>
        </w:rPr>
        <w:t>, so he told Quiambao that defendant shot Johnson</w:t>
      </w:r>
      <w:r w:rsidRPr="0052255D">
        <w:rPr>
          <w:rFonts w:ascii="Century Schoolbook" w:hAnsi="Century Schoolbook"/>
          <w:color w:val="auto"/>
          <w:sz w:val="27"/>
          <w:u w:color="FF0000"/>
        </w:rPr>
        <w:t xml:space="preserve">.  </w:t>
      </w:r>
      <w:r w:rsidR="00C275E6">
        <w:rPr>
          <w:rFonts w:ascii="Century Schoolbook" w:hAnsi="Century Schoolbook"/>
          <w:color w:val="auto"/>
          <w:sz w:val="27"/>
          <w:u w:color="FF0000"/>
        </w:rPr>
        <w:t xml:space="preserve">When Quiambao returned </w:t>
      </w:r>
      <w:r w:rsidR="00D275C5">
        <w:rPr>
          <w:rFonts w:ascii="Century Schoolbook" w:hAnsi="Century Schoolbook"/>
          <w:color w:val="auto"/>
          <w:sz w:val="27"/>
          <w:u w:color="FF0000"/>
        </w:rPr>
        <w:t>with a drink, he again asked defendant</w:t>
      </w:r>
      <w:r w:rsidR="00423538">
        <w:rPr>
          <w:rFonts w:ascii="Century Schoolbook" w:hAnsi="Century Schoolbook"/>
          <w:color w:val="auto"/>
          <w:sz w:val="27"/>
          <w:u w:color="FF0000"/>
        </w:rPr>
        <w:t xml:space="preserve"> why he shot Johnson and Masubayashi, adding, “They are our friends.”  Defendant responded, “Why?  Why don’t you shut the hell </w:t>
      </w:r>
      <w:r w:rsidR="00387DAD">
        <w:rPr>
          <w:rFonts w:ascii="Century Schoolbook" w:hAnsi="Century Schoolbook"/>
          <w:color w:val="auto"/>
          <w:sz w:val="27"/>
          <w:u w:color="FF0000"/>
        </w:rPr>
        <w:t>up?</w:t>
      </w:r>
      <w:r w:rsidR="00423538">
        <w:rPr>
          <w:rFonts w:ascii="Century Schoolbook" w:hAnsi="Century Schoolbook"/>
          <w:color w:val="auto"/>
          <w:sz w:val="27"/>
          <w:u w:color="FF0000"/>
        </w:rPr>
        <w:t xml:space="preserve">”  </w:t>
      </w:r>
    </w:p>
    <w:p w:rsidR="00C21001"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Later that morning, defendant</w:t>
      </w:r>
      <w:r w:rsidRPr="0052255D" w:rsidR="00E1648F">
        <w:rPr>
          <w:rFonts w:ascii="Century Schoolbook" w:hAnsi="Century Schoolbook"/>
          <w:color w:val="auto"/>
          <w:sz w:val="27"/>
          <w:u w:color="FF0000"/>
        </w:rPr>
        <w:t xml:space="preserve"> testified, he</w:t>
      </w:r>
      <w:r w:rsidRPr="0052255D">
        <w:rPr>
          <w:rFonts w:ascii="Century Schoolbook" w:hAnsi="Century Schoolbook"/>
          <w:color w:val="auto"/>
          <w:sz w:val="27"/>
          <w:u w:color="FF0000"/>
        </w:rPr>
        <w:t xml:space="preserve"> </w:t>
      </w:r>
      <w:r w:rsidRPr="0052255D" w:rsidR="00E70A1B">
        <w:rPr>
          <w:rFonts w:ascii="Century Schoolbook" w:hAnsi="Century Schoolbook"/>
          <w:color w:val="auto"/>
          <w:sz w:val="27"/>
          <w:u w:color="FF0000"/>
        </w:rPr>
        <w:t xml:space="preserve">and Baby </w:t>
      </w:r>
      <w:r w:rsidRPr="0052255D">
        <w:rPr>
          <w:rFonts w:ascii="Century Schoolbook" w:hAnsi="Century Schoolbook"/>
          <w:color w:val="auto"/>
          <w:sz w:val="27"/>
          <w:u w:color="FF0000"/>
        </w:rPr>
        <w:t xml:space="preserve">went to see someone about getting fake identification.  </w:t>
      </w:r>
      <w:r w:rsidRPr="0052255D" w:rsidR="0033071A">
        <w:rPr>
          <w:rFonts w:ascii="Century Schoolbook" w:hAnsi="Century Schoolbook"/>
          <w:color w:val="auto"/>
          <w:sz w:val="27"/>
          <w:u w:color="FF0000"/>
        </w:rPr>
        <w:t xml:space="preserve">The following day, defendant, Baby, and Carrillo </w:t>
      </w:r>
      <w:r w:rsidRPr="0052255D" w:rsidR="00CB2AC9">
        <w:rPr>
          <w:rFonts w:ascii="Century Schoolbook" w:hAnsi="Century Schoolbook"/>
          <w:color w:val="auto"/>
          <w:sz w:val="27"/>
          <w:u w:color="FF0000"/>
        </w:rPr>
        <w:t xml:space="preserve">flew to Salt Lake City.  </w:t>
      </w:r>
      <w:r w:rsidRPr="0052255D" w:rsidR="00E206A0">
        <w:rPr>
          <w:rFonts w:ascii="Century Schoolbook" w:hAnsi="Century Schoolbook"/>
          <w:color w:val="auto"/>
          <w:sz w:val="27"/>
          <w:u w:color="FF0000"/>
        </w:rPr>
        <w:t xml:space="preserve">The group lived in a hotel for several weeks and eventually moved to a family member’s house.  </w:t>
      </w:r>
      <w:r w:rsidRPr="0052255D" w:rsidR="004706FB">
        <w:rPr>
          <w:rFonts w:ascii="Century Schoolbook" w:hAnsi="Century Schoolbook"/>
          <w:color w:val="auto"/>
          <w:sz w:val="27"/>
          <w:u w:color="FF0000"/>
        </w:rPr>
        <w:t>Defendant said that he left periodically,</w:t>
      </w:r>
      <w:r w:rsidRPr="0052255D" w:rsidR="001076F8">
        <w:rPr>
          <w:rFonts w:ascii="Century Schoolbook" w:hAnsi="Century Schoolbook"/>
          <w:color w:val="auto"/>
          <w:sz w:val="27"/>
          <w:u w:color="FF0000"/>
        </w:rPr>
        <w:t xml:space="preserve"> traveling to San Francisco, Portland, Seattle, and Los Angeles</w:t>
      </w:r>
      <w:r w:rsidRPr="0052255D" w:rsidR="00635091">
        <w:rPr>
          <w:rFonts w:ascii="Century Schoolbook" w:hAnsi="Century Schoolbook"/>
          <w:color w:val="auto"/>
          <w:sz w:val="27"/>
          <w:u w:color="FF0000"/>
        </w:rPr>
        <w:t>, until he returned to Los Angeles</w:t>
      </w:r>
      <w:r w:rsidRPr="0052255D" w:rsidR="004706FB">
        <w:rPr>
          <w:rFonts w:ascii="Century Schoolbook" w:hAnsi="Century Schoolbook"/>
          <w:color w:val="auto"/>
          <w:sz w:val="27"/>
          <w:u w:color="FF0000"/>
        </w:rPr>
        <w:t xml:space="preserve"> in late 1999</w:t>
      </w:r>
      <w:r w:rsidRPr="0052255D" w:rsidR="00635091">
        <w:rPr>
          <w:rFonts w:ascii="Century Schoolbook" w:hAnsi="Century Schoolbook"/>
          <w:color w:val="auto"/>
          <w:sz w:val="27"/>
          <w:u w:color="FF0000"/>
        </w:rPr>
        <w:t xml:space="preserve">.  </w:t>
      </w:r>
      <w:r w:rsidRPr="0052255D" w:rsidR="00165FEC">
        <w:rPr>
          <w:rFonts w:ascii="Century Schoolbook" w:hAnsi="Century Schoolbook"/>
          <w:color w:val="auto"/>
          <w:sz w:val="27"/>
          <w:u w:color="FF0000"/>
        </w:rPr>
        <w:t xml:space="preserve">Defendant claimed that he </w:t>
      </w:r>
      <w:r w:rsidRPr="0052255D" w:rsidR="007B085F">
        <w:rPr>
          <w:rFonts w:ascii="Century Schoolbook" w:hAnsi="Century Schoolbook"/>
          <w:color w:val="auto"/>
          <w:sz w:val="27"/>
          <w:u w:color="FF0000"/>
        </w:rPr>
        <w:t xml:space="preserve">went into hiding in </w:t>
      </w:r>
      <w:r w:rsidRPr="0052255D" w:rsidR="00C32597">
        <w:rPr>
          <w:rFonts w:ascii="Century Schoolbook" w:hAnsi="Century Schoolbook"/>
          <w:color w:val="auto"/>
          <w:sz w:val="27"/>
          <w:u w:color="FF0000"/>
        </w:rPr>
        <w:t xml:space="preserve">Salt Lake City </w:t>
      </w:r>
      <w:r w:rsidRPr="0052255D" w:rsidR="00165FEC">
        <w:rPr>
          <w:rFonts w:ascii="Century Schoolbook" w:hAnsi="Century Schoolbook"/>
          <w:color w:val="auto"/>
          <w:sz w:val="27"/>
          <w:u w:color="FF0000"/>
        </w:rPr>
        <w:t xml:space="preserve">because </w:t>
      </w:r>
      <w:r w:rsidRPr="0052255D" w:rsidR="007B085F">
        <w:rPr>
          <w:rFonts w:ascii="Century Schoolbook" w:hAnsi="Century Schoolbook"/>
          <w:color w:val="auto"/>
          <w:sz w:val="27"/>
          <w:u w:color="FF0000"/>
        </w:rPr>
        <w:t>he refused</w:t>
      </w:r>
      <w:r w:rsidRPr="0052255D" w:rsidR="00165FEC">
        <w:rPr>
          <w:rFonts w:ascii="Century Schoolbook" w:hAnsi="Century Schoolbook"/>
          <w:color w:val="auto"/>
          <w:sz w:val="27"/>
          <w:u w:color="FF0000"/>
        </w:rPr>
        <w:t xml:space="preserve"> to go to jail for </w:t>
      </w:r>
      <w:r w:rsidRPr="0052255D" w:rsidR="007B085F">
        <w:rPr>
          <w:rFonts w:ascii="Century Schoolbook" w:hAnsi="Century Schoolbook"/>
          <w:color w:val="auto"/>
          <w:sz w:val="27"/>
          <w:u w:color="FF0000"/>
        </w:rPr>
        <w:t>a crime he did not commit</w:t>
      </w:r>
      <w:r w:rsidRPr="0052255D" w:rsidR="00165FEC">
        <w:rPr>
          <w:rFonts w:ascii="Century Schoolbook" w:hAnsi="Century Schoolbook"/>
          <w:color w:val="auto"/>
          <w:sz w:val="27"/>
          <w:u w:color="FF0000"/>
        </w:rPr>
        <w:t xml:space="preserve">.  </w:t>
      </w:r>
    </w:p>
    <w:p w:rsidR="00BD707F"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color w:val="auto"/>
          <w:sz w:val="27"/>
          <w:u w:color="FF0000"/>
        </w:rPr>
        <w:t xml:space="preserve">Defendant </w:t>
      </w:r>
      <w:r w:rsidRPr="0052255D" w:rsidR="007E7F77">
        <w:rPr>
          <w:rFonts w:ascii="Century Schoolbook" w:hAnsi="Century Schoolbook"/>
          <w:color w:val="auto"/>
          <w:sz w:val="27"/>
          <w:u w:color="FF0000"/>
        </w:rPr>
        <w:t>admitted that he “ran” with the Sons of S</w:t>
      </w:r>
      <w:r w:rsidRPr="0052255D" w:rsidR="009A6467">
        <w:rPr>
          <w:rFonts w:ascii="Century Schoolbook" w:hAnsi="Century Schoolbook"/>
          <w:color w:val="auto"/>
          <w:sz w:val="27"/>
          <w:u w:color="FF0000"/>
        </w:rPr>
        <w:t>a</w:t>
      </w:r>
      <w:r w:rsidRPr="0052255D" w:rsidR="007E7F77">
        <w:rPr>
          <w:rFonts w:ascii="Century Schoolbook" w:hAnsi="Century Schoolbook"/>
          <w:color w:val="auto"/>
          <w:sz w:val="27"/>
          <w:u w:color="FF0000"/>
        </w:rPr>
        <w:t>moa gang, but</w:t>
      </w:r>
      <w:r w:rsidRPr="0052255D" w:rsidR="00D46603">
        <w:rPr>
          <w:rFonts w:ascii="Century Schoolbook" w:hAnsi="Century Schoolbook"/>
          <w:color w:val="auto"/>
          <w:sz w:val="27"/>
          <w:u w:color="FF0000"/>
        </w:rPr>
        <w:t xml:space="preserve"> denied being an actual gang member</w:t>
      </w:r>
      <w:r w:rsidRPr="0052255D">
        <w:rPr>
          <w:rFonts w:ascii="Century Schoolbook" w:hAnsi="Century Schoolbook"/>
          <w:color w:val="auto"/>
          <w:sz w:val="27"/>
          <w:u w:color="FF0000"/>
        </w:rPr>
        <w:t xml:space="preserve">.  He </w:t>
      </w:r>
      <w:r w:rsidRPr="0052255D" w:rsidR="00D46603">
        <w:rPr>
          <w:rFonts w:ascii="Century Schoolbook" w:hAnsi="Century Schoolbook"/>
          <w:color w:val="auto"/>
          <w:sz w:val="27"/>
          <w:u w:color="FF0000"/>
        </w:rPr>
        <w:t xml:space="preserve">acknowledged that he had been at </w:t>
      </w:r>
      <w:r w:rsidRPr="0052255D">
        <w:rPr>
          <w:rFonts w:ascii="Century Schoolbook" w:hAnsi="Century Schoolbook"/>
          <w:color w:val="auto"/>
          <w:sz w:val="27"/>
          <w:u w:color="FF0000"/>
        </w:rPr>
        <w:t>Quiambao’s</w:t>
      </w:r>
      <w:r w:rsidRPr="0052255D" w:rsidR="00D46603">
        <w:rPr>
          <w:rFonts w:ascii="Century Schoolbook" w:hAnsi="Century Schoolbook"/>
          <w:color w:val="auto"/>
          <w:sz w:val="27"/>
          <w:u w:color="FF0000"/>
        </w:rPr>
        <w:t xml:space="preserve"> house</w:t>
      </w:r>
      <w:r w:rsidRPr="0052255D">
        <w:rPr>
          <w:rFonts w:ascii="Century Schoolbook" w:hAnsi="Century Schoolbook"/>
          <w:color w:val="auto"/>
          <w:sz w:val="27"/>
          <w:u w:color="FF0000"/>
        </w:rPr>
        <w:t xml:space="preserve"> with Perdon and discuss</w:t>
      </w:r>
      <w:r w:rsidRPr="0052255D" w:rsidR="00D46603">
        <w:rPr>
          <w:rFonts w:ascii="Century Schoolbook" w:hAnsi="Century Schoolbook"/>
          <w:color w:val="auto"/>
          <w:sz w:val="27"/>
          <w:u w:color="FF0000"/>
        </w:rPr>
        <w:t>ed</w:t>
      </w:r>
      <w:r w:rsidRPr="0052255D">
        <w:rPr>
          <w:rFonts w:ascii="Century Schoolbook" w:hAnsi="Century Schoolbook"/>
          <w:color w:val="auto"/>
          <w:sz w:val="27"/>
          <w:u w:color="FF0000"/>
        </w:rPr>
        <w:t xml:space="preserve"> </w:t>
      </w:r>
      <w:r w:rsidRPr="0052255D" w:rsidR="007A0EE4">
        <w:rPr>
          <w:rFonts w:ascii="Century Schoolbook" w:hAnsi="Century Schoolbook"/>
          <w:color w:val="auto"/>
          <w:sz w:val="27"/>
          <w:u w:color="FF0000"/>
        </w:rPr>
        <w:t>Johnson’s</w:t>
      </w:r>
      <w:r w:rsidRPr="0052255D">
        <w:rPr>
          <w:rFonts w:ascii="Century Schoolbook" w:hAnsi="Century Schoolbook"/>
          <w:color w:val="auto"/>
          <w:sz w:val="27"/>
          <w:u w:color="FF0000"/>
        </w:rPr>
        <w:t xml:space="preserve"> murder</w:t>
      </w:r>
      <w:r w:rsidRPr="0052255D" w:rsidR="007A0EE4">
        <w:rPr>
          <w:rFonts w:ascii="Century Schoolbook" w:hAnsi="Century Schoolbook"/>
          <w:color w:val="auto"/>
          <w:sz w:val="27"/>
          <w:u w:color="FF0000"/>
        </w:rPr>
        <w:t xml:space="preserve"> and the shooting of Masubayashi</w:t>
      </w:r>
      <w:r w:rsidRPr="0052255D">
        <w:rPr>
          <w:rFonts w:ascii="Century Schoolbook" w:hAnsi="Century Schoolbook"/>
          <w:color w:val="auto"/>
          <w:sz w:val="27"/>
          <w:u w:color="FF0000"/>
        </w:rPr>
        <w:t xml:space="preserve">, but denied ever making the statement to Perdon that he </w:t>
      </w:r>
      <w:r w:rsidRPr="0052255D" w:rsidR="0043014A">
        <w:rPr>
          <w:rFonts w:ascii="Century Schoolbook" w:hAnsi="Century Schoolbook"/>
          <w:color w:val="auto"/>
          <w:sz w:val="27"/>
          <w:u w:color="FF0000"/>
        </w:rPr>
        <w:t>shot Johnson.</w:t>
      </w:r>
      <w:r w:rsidRPr="0052255D">
        <w:rPr>
          <w:rFonts w:ascii="Century Schoolbook" w:hAnsi="Century Schoolbook"/>
          <w:color w:val="auto"/>
          <w:sz w:val="27"/>
          <w:u w:color="FF0000"/>
        </w:rPr>
        <w:t xml:space="preserve">    </w:t>
      </w:r>
    </w:p>
    <w:p w:rsidR="001D7924"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color w:val="auto"/>
          <w:sz w:val="27"/>
          <w:u w:color="FF0000"/>
        </w:rPr>
        <w:t xml:space="preserve">Carrillo’s sister-in-law, Alana Swift Eagle, testified that Carrillo drank heavily and used </w:t>
      </w:r>
      <w:r w:rsidRPr="0052255D" w:rsidR="00BC0B0B">
        <w:rPr>
          <w:rFonts w:ascii="Century Schoolbook" w:hAnsi="Century Schoolbook"/>
          <w:color w:val="auto"/>
          <w:sz w:val="27"/>
          <w:u w:color="FF0000"/>
        </w:rPr>
        <w:t>methamphetamine</w:t>
      </w:r>
      <w:r w:rsidRPr="0052255D">
        <w:rPr>
          <w:rFonts w:ascii="Century Schoolbook" w:hAnsi="Century Schoolbook"/>
          <w:color w:val="auto"/>
          <w:sz w:val="27"/>
          <w:u w:color="FF0000"/>
        </w:rPr>
        <w:t xml:space="preserve"> daily</w:t>
      </w:r>
      <w:r w:rsidRPr="0052255D" w:rsidR="00A269D0">
        <w:rPr>
          <w:rFonts w:ascii="Century Schoolbook" w:hAnsi="Century Schoolbook"/>
          <w:color w:val="auto"/>
          <w:sz w:val="27"/>
          <w:u w:color="FF0000"/>
        </w:rPr>
        <w:t>.</w:t>
      </w:r>
      <w:r w:rsidRPr="0052255D">
        <w:rPr>
          <w:rFonts w:ascii="Century Schoolbook" w:hAnsi="Century Schoolbook"/>
          <w:color w:val="auto"/>
          <w:sz w:val="27"/>
          <w:u w:color="FF0000"/>
        </w:rPr>
        <w:t xml:space="preserve">  </w:t>
      </w:r>
      <w:r w:rsidRPr="0052255D" w:rsidR="00BC0B0B">
        <w:rPr>
          <w:rFonts w:ascii="Century Schoolbook" w:hAnsi="Century Schoolbook"/>
          <w:color w:val="auto"/>
          <w:sz w:val="27"/>
          <w:u w:color="FF0000"/>
        </w:rPr>
        <w:t xml:space="preserve">She also </w:t>
      </w:r>
      <w:r w:rsidRPr="0052255D" w:rsidR="000A7BB9">
        <w:rPr>
          <w:rFonts w:ascii="Century Schoolbook" w:hAnsi="Century Schoolbook"/>
          <w:color w:val="auto"/>
          <w:sz w:val="27"/>
          <w:u w:color="FF0000"/>
        </w:rPr>
        <w:t xml:space="preserve">related </w:t>
      </w:r>
      <w:r w:rsidRPr="0052255D" w:rsidR="00BC0B0B">
        <w:rPr>
          <w:rFonts w:ascii="Century Schoolbook" w:hAnsi="Century Schoolbook"/>
          <w:color w:val="auto"/>
          <w:sz w:val="27"/>
          <w:u w:color="FF0000"/>
        </w:rPr>
        <w:t xml:space="preserve">that Carrillo was </w:t>
      </w:r>
      <w:r w:rsidRPr="0052255D" w:rsidR="00E65803">
        <w:rPr>
          <w:rFonts w:ascii="Century Schoolbook" w:hAnsi="Century Schoolbook"/>
          <w:color w:val="auto"/>
          <w:sz w:val="27"/>
          <w:u w:color="FF0000"/>
        </w:rPr>
        <w:t xml:space="preserve">a </w:t>
      </w:r>
      <w:r w:rsidRPr="0052255D" w:rsidR="00BC0B0B">
        <w:rPr>
          <w:rFonts w:ascii="Century Schoolbook" w:hAnsi="Century Schoolbook"/>
          <w:color w:val="auto"/>
          <w:sz w:val="27"/>
          <w:u w:color="FF0000"/>
        </w:rPr>
        <w:t xml:space="preserve">dishonest </w:t>
      </w:r>
      <w:r w:rsidRPr="0052255D" w:rsidR="00E65803">
        <w:rPr>
          <w:rFonts w:ascii="Century Schoolbook" w:hAnsi="Century Schoolbook"/>
          <w:color w:val="auto"/>
          <w:sz w:val="27"/>
          <w:u w:color="FF0000"/>
        </w:rPr>
        <w:t xml:space="preserve">person </w:t>
      </w:r>
      <w:r w:rsidRPr="0052255D" w:rsidR="00BC0B0B">
        <w:rPr>
          <w:rFonts w:ascii="Century Schoolbook" w:hAnsi="Century Schoolbook"/>
          <w:color w:val="auto"/>
          <w:sz w:val="27"/>
          <w:u w:color="FF0000"/>
        </w:rPr>
        <w:t xml:space="preserve">and a very manipulative liar.  </w:t>
      </w:r>
    </w:p>
    <w:p w:rsidR="00BD707F"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The defense</w:t>
      </w:r>
      <w:r w:rsidRPr="0052255D" w:rsidR="00B258F0">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presented evidence that, despite Carrillo’s recollection that one of the rounds fired by defendant hit a metal pole, there was no ballistic evidence </w:t>
      </w:r>
      <w:r w:rsidRPr="0052255D" w:rsidR="005629A9">
        <w:rPr>
          <w:rFonts w:ascii="Century Schoolbook" w:hAnsi="Century Schoolbook"/>
          <w:color w:val="auto"/>
          <w:sz w:val="27"/>
          <w:u w:color="FF0000"/>
        </w:rPr>
        <w:t xml:space="preserve">recovered </w:t>
      </w:r>
      <w:r w:rsidRPr="0052255D" w:rsidR="00AB78DB">
        <w:rPr>
          <w:rFonts w:ascii="Century Schoolbook" w:hAnsi="Century Schoolbook"/>
          <w:color w:val="auto"/>
          <w:sz w:val="27"/>
          <w:u w:color="FF0000"/>
        </w:rPr>
        <w:t xml:space="preserve">from </w:t>
      </w:r>
      <w:r w:rsidRPr="0052255D" w:rsidR="00F55595">
        <w:rPr>
          <w:rFonts w:ascii="Century Schoolbook" w:hAnsi="Century Schoolbook"/>
          <w:color w:val="auto"/>
          <w:sz w:val="27"/>
          <w:u w:color="FF0000"/>
        </w:rPr>
        <w:t>that vicinity</w:t>
      </w:r>
      <w:r w:rsidRPr="0052255D">
        <w:rPr>
          <w:rFonts w:ascii="Century Schoolbook" w:hAnsi="Century Schoolbook"/>
          <w:color w:val="auto"/>
          <w:sz w:val="27"/>
          <w:u w:color="FF0000"/>
        </w:rPr>
        <w:t xml:space="preserve">.  </w:t>
      </w:r>
      <w:r w:rsidRPr="0052255D" w:rsidR="00B258F0">
        <w:rPr>
          <w:rFonts w:ascii="Century Schoolbook" w:hAnsi="Century Schoolbook"/>
          <w:color w:val="auto"/>
          <w:sz w:val="27"/>
          <w:u w:color="FF0000"/>
        </w:rPr>
        <w:t>Additional</w:t>
      </w:r>
      <w:r w:rsidRPr="0052255D">
        <w:rPr>
          <w:rFonts w:ascii="Century Schoolbook" w:hAnsi="Century Schoolbook"/>
          <w:color w:val="auto"/>
          <w:sz w:val="27"/>
          <w:u w:color="FF0000"/>
        </w:rPr>
        <w:t xml:space="preserve"> evidence</w:t>
      </w:r>
      <w:r w:rsidRPr="0052255D" w:rsidR="00B258F0">
        <w:rPr>
          <w:rFonts w:ascii="Century Schoolbook" w:hAnsi="Century Schoolbook"/>
          <w:color w:val="auto"/>
          <w:sz w:val="27"/>
          <w:u w:color="FF0000"/>
        </w:rPr>
        <w:t xml:space="preserve"> was introduced suggesting</w:t>
      </w:r>
      <w:r w:rsidRPr="0052255D">
        <w:rPr>
          <w:rFonts w:ascii="Century Schoolbook" w:hAnsi="Century Schoolbook"/>
          <w:color w:val="auto"/>
          <w:sz w:val="27"/>
          <w:u w:color="FF0000"/>
        </w:rPr>
        <w:t xml:space="preserve"> that the </w:t>
      </w:r>
      <w:r w:rsidRPr="0052255D" w:rsidR="008F6A81">
        <w:rPr>
          <w:rFonts w:ascii="Century Schoolbook" w:hAnsi="Century Schoolbook"/>
          <w:color w:val="auto"/>
          <w:sz w:val="27"/>
          <w:u w:color="FF0000"/>
        </w:rPr>
        <w:t xml:space="preserve">bullet </w:t>
      </w:r>
      <w:r w:rsidRPr="0052255D">
        <w:rPr>
          <w:rFonts w:ascii="Century Schoolbook" w:hAnsi="Century Schoolbook"/>
          <w:color w:val="auto"/>
          <w:sz w:val="27"/>
          <w:u w:color="FF0000"/>
        </w:rPr>
        <w:t>recovered from Johnson’s body</w:t>
      </w:r>
      <w:r w:rsidRPr="0052255D" w:rsidR="001D385A">
        <w:rPr>
          <w:rFonts w:ascii="Century Schoolbook" w:hAnsi="Century Schoolbook"/>
          <w:color w:val="auto"/>
          <w:sz w:val="27"/>
          <w:u w:color="FF0000"/>
        </w:rPr>
        <w:t xml:space="preserve"> would not have been fired by </w:t>
      </w:r>
      <w:r w:rsidR="00B92F42">
        <w:rPr>
          <w:rFonts w:ascii="Century Schoolbook" w:hAnsi="Century Schoolbook"/>
          <w:color w:val="auto"/>
          <w:sz w:val="27"/>
          <w:u w:color="FF0000"/>
        </w:rPr>
        <w:t xml:space="preserve">a </w:t>
      </w:r>
      <w:r w:rsidR="00A331F4">
        <w:rPr>
          <w:rFonts w:ascii="Century Schoolbook" w:hAnsi="Century Schoolbook"/>
          <w:color w:val="auto"/>
          <w:sz w:val="27"/>
          <w:u w:color="FF0000"/>
        </w:rPr>
        <w:t>Smith &amp; Wess</w:t>
      </w:r>
      <w:r w:rsidR="007616AC">
        <w:rPr>
          <w:rFonts w:ascii="Century Schoolbook" w:hAnsi="Century Schoolbook"/>
          <w:color w:val="auto"/>
          <w:sz w:val="27"/>
          <w:u w:color="FF0000"/>
        </w:rPr>
        <w:t>o</w:t>
      </w:r>
      <w:r w:rsidR="00A331F4">
        <w:rPr>
          <w:rFonts w:ascii="Century Schoolbook" w:hAnsi="Century Schoolbook"/>
          <w:color w:val="auto"/>
          <w:sz w:val="27"/>
          <w:u w:color="FF0000"/>
        </w:rPr>
        <w:t xml:space="preserve">n-manufactured </w:t>
      </w:r>
      <w:r w:rsidR="00B92F42">
        <w:rPr>
          <w:rFonts w:ascii="Century Schoolbook" w:hAnsi="Century Schoolbook"/>
          <w:color w:val="auto"/>
          <w:sz w:val="27"/>
          <w:u w:color="FF0000"/>
        </w:rPr>
        <w:t xml:space="preserve">.357 </w:t>
      </w:r>
      <w:r w:rsidR="002C7061">
        <w:rPr>
          <w:rFonts w:ascii="Century Schoolbook" w:hAnsi="Century Schoolbook"/>
          <w:color w:val="auto"/>
          <w:sz w:val="27"/>
          <w:u w:color="FF0000"/>
        </w:rPr>
        <w:t>handgun</w:t>
      </w:r>
      <w:r w:rsidR="00B92F42">
        <w:rPr>
          <w:rFonts w:ascii="Century Schoolbook" w:hAnsi="Century Schoolbook"/>
          <w:color w:val="auto"/>
          <w:sz w:val="27"/>
          <w:u w:color="FF0000"/>
        </w:rPr>
        <w:t xml:space="preserve">, </w:t>
      </w:r>
      <w:r w:rsidR="00C35169">
        <w:rPr>
          <w:rFonts w:ascii="Century Schoolbook" w:hAnsi="Century Schoolbook"/>
          <w:color w:val="auto"/>
          <w:sz w:val="27"/>
          <w:u w:color="FF0000"/>
        </w:rPr>
        <w:t xml:space="preserve">although </w:t>
      </w:r>
      <w:r w:rsidRPr="0052255D" w:rsidR="00737012">
        <w:rPr>
          <w:rFonts w:ascii="Century Schoolbook" w:hAnsi="Century Schoolbook"/>
          <w:color w:val="auto"/>
          <w:sz w:val="27"/>
          <w:u w:color="FF0000"/>
        </w:rPr>
        <w:t>Carrillo maintained</w:t>
      </w:r>
      <w:r w:rsidRPr="0052255D">
        <w:rPr>
          <w:rFonts w:ascii="Century Schoolbook" w:hAnsi="Century Schoolbook"/>
          <w:color w:val="auto"/>
          <w:sz w:val="27"/>
          <w:u w:color="FF0000"/>
        </w:rPr>
        <w:t xml:space="preserve"> </w:t>
      </w:r>
      <w:r w:rsidR="00C35169">
        <w:rPr>
          <w:rFonts w:ascii="Century Schoolbook" w:hAnsi="Century Schoolbook"/>
          <w:color w:val="auto"/>
          <w:sz w:val="27"/>
          <w:u w:color="FF0000"/>
        </w:rPr>
        <w:t xml:space="preserve">that </w:t>
      </w:r>
      <w:r w:rsidR="003F2FF1">
        <w:rPr>
          <w:rFonts w:ascii="Century Schoolbook" w:hAnsi="Century Schoolbook"/>
          <w:color w:val="auto"/>
          <w:sz w:val="27"/>
          <w:u w:color="FF0000"/>
        </w:rPr>
        <w:t>defendant’s gun was made by Smith &amp; Wess</w:t>
      </w:r>
      <w:r w:rsidR="007616AC">
        <w:rPr>
          <w:rFonts w:ascii="Century Schoolbook" w:hAnsi="Century Schoolbook"/>
          <w:color w:val="auto"/>
          <w:sz w:val="27"/>
          <w:u w:color="FF0000"/>
        </w:rPr>
        <w:t>o</w:t>
      </w:r>
      <w:r w:rsidR="003F2FF1">
        <w:rPr>
          <w:rFonts w:ascii="Century Schoolbook" w:hAnsi="Century Schoolbook"/>
          <w:color w:val="auto"/>
          <w:sz w:val="27"/>
          <w:u w:color="FF0000"/>
        </w:rPr>
        <w:t>n</w:t>
      </w:r>
      <w:r w:rsidRPr="0052255D">
        <w:rPr>
          <w:rFonts w:ascii="Century Schoolbook" w:hAnsi="Century Schoolbook"/>
          <w:color w:val="auto"/>
          <w:sz w:val="27"/>
          <w:u w:color="FF0000"/>
        </w:rPr>
        <w:t>.</w:t>
      </w:r>
      <w:r w:rsidR="003F2FF1">
        <w:rPr>
          <w:rFonts w:ascii="Century Schoolbook" w:hAnsi="Century Schoolbook"/>
          <w:color w:val="auto"/>
          <w:sz w:val="27"/>
          <w:u w:color="FF0000"/>
        </w:rPr>
        <w:t xml:space="preserve">  </w:t>
      </w:r>
      <w:r w:rsidR="008F18FC">
        <w:rPr>
          <w:rFonts w:ascii="Century Schoolbook" w:hAnsi="Century Schoolbook"/>
          <w:color w:val="auto"/>
          <w:sz w:val="27"/>
          <w:u w:color="FF0000"/>
        </w:rPr>
        <w:t xml:space="preserve">However, </w:t>
      </w:r>
      <w:r w:rsidRPr="00FC5212" w:rsidR="00777DD4">
        <w:rPr>
          <w:rFonts w:ascii="Century Schoolbook" w:hAnsi="Century Schoolbook"/>
          <w:color w:val="auto"/>
          <w:sz w:val="27"/>
          <w:u w:color="FF0000"/>
        </w:rPr>
        <w:t>the criminologist</w:t>
      </w:r>
      <w:r w:rsidRPr="00FC5212" w:rsidR="00692CF7">
        <w:rPr>
          <w:rFonts w:ascii="Century Schoolbook" w:hAnsi="Century Schoolbook"/>
          <w:color w:val="auto"/>
          <w:sz w:val="27"/>
          <w:u w:color="FF0000"/>
        </w:rPr>
        <w:t>’s earlier testimony</w:t>
      </w:r>
      <w:r w:rsidRPr="00FC5212" w:rsidR="00777DD4">
        <w:rPr>
          <w:rFonts w:ascii="Century Schoolbook" w:hAnsi="Century Schoolbook"/>
          <w:color w:val="auto"/>
          <w:sz w:val="27"/>
          <w:u w:color="FF0000"/>
        </w:rPr>
        <w:t xml:space="preserve"> that </w:t>
      </w:r>
      <w:r w:rsidR="004E1FA4">
        <w:rPr>
          <w:rFonts w:ascii="Century Schoolbook" w:hAnsi="Century Schoolbook"/>
          <w:color w:val="auto"/>
          <w:sz w:val="27"/>
          <w:u w:color="FF0000"/>
        </w:rPr>
        <w:t xml:space="preserve">either </w:t>
      </w:r>
      <w:r w:rsidRPr="00FC5212" w:rsidR="00777DD4">
        <w:rPr>
          <w:rFonts w:ascii="Century Schoolbook" w:hAnsi="Century Schoolbook"/>
          <w:color w:val="auto"/>
          <w:sz w:val="27"/>
          <w:u w:color="FF0000"/>
        </w:rPr>
        <w:t xml:space="preserve">a .38 </w:t>
      </w:r>
      <w:r w:rsidRPr="00FC5212" w:rsidR="007616AC">
        <w:rPr>
          <w:rFonts w:ascii="Century Schoolbook" w:hAnsi="Century Schoolbook"/>
          <w:color w:val="auto"/>
          <w:sz w:val="27"/>
          <w:u w:color="FF0000"/>
        </w:rPr>
        <w:t xml:space="preserve">special </w:t>
      </w:r>
      <w:r w:rsidRPr="00FC5212" w:rsidR="00777DD4">
        <w:rPr>
          <w:rFonts w:ascii="Century Schoolbook" w:hAnsi="Century Schoolbook"/>
          <w:color w:val="auto"/>
          <w:sz w:val="27"/>
          <w:u w:color="FF0000"/>
        </w:rPr>
        <w:t xml:space="preserve">or </w:t>
      </w:r>
      <w:r w:rsidRPr="00FC5212" w:rsidR="0050768A">
        <w:rPr>
          <w:rFonts w:ascii="Century Schoolbook" w:hAnsi="Century Schoolbook"/>
          <w:color w:val="auto"/>
          <w:sz w:val="27"/>
          <w:u w:color="FF0000"/>
        </w:rPr>
        <w:t xml:space="preserve">a </w:t>
      </w:r>
      <w:r w:rsidRPr="00FC5212" w:rsidR="000A1FE4">
        <w:rPr>
          <w:rFonts w:ascii="Century Schoolbook" w:hAnsi="Century Schoolbook"/>
          <w:color w:val="000000" w:themeColor="text1"/>
          <w:sz w:val="27"/>
          <w:u w:color="FF0000"/>
        </w:rPr>
        <w:t>.357 magnum handgun fired the bullet that killed Johnson</w:t>
      </w:r>
      <w:r w:rsidR="0043664E">
        <w:rPr>
          <w:rFonts w:ascii="Century Schoolbook" w:hAnsi="Century Schoolbook"/>
          <w:color w:val="000000" w:themeColor="text1"/>
          <w:sz w:val="27"/>
          <w:u w:color="FF0000"/>
        </w:rPr>
        <w:t xml:space="preserve"> was not called into question</w:t>
      </w:r>
      <w:r w:rsidR="00676A01">
        <w:rPr>
          <w:rFonts w:ascii="Century Schoolbook" w:hAnsi="Century Schoolbook"/>
          <w:color w:val="000000" w:themeColor="text1"/>
          <w:sz w:val="27"/>
          <w:u w:color="FF0000"/>
        </w:rPr>
        <w:t>.  She also</w:t>
      </w:r>
      <w:r w:rsidR="000A1FE4">
        <w:rPr>
          <w:rFonts w:ascii="Century Schoolbook" w:hAnsi="Century Schoolbook"/>
          <w:color w:val="000000" w:themeColor="text1"/>
          <w:sz w:val="27"/>
          <w:u w:color="FF0000"/>
        </w:rPr>
        <w:t xml:space="preserve"> testified </w:t>
      </w:r>
      <w:r w:rsidR="00887A85">
        <w:rPr>
          <w:rFonts w:ascii="Century Schoolbook" w:hAnsi="Century Schoolbook"/>
          <w:color w:val="000000" w:themeColor="text1"/>
          <w:sz w:val="27"/>
          <w:u w:color="FF0000"/>
        </w:rPr>
        <w:t xml:space="preserve">that many gun parts are interchangeable and </w:t>
      </w:r>
      <w:r w:rsidR="00676A01">
        <w:rPr>
          <w:rFonts w:ascii="Century Schoolbook" w:hAnsi="Century Schoolbook"/>
          <w:color w:val="000000" w:themeColor="text1"/>
          <w:sz w:val="27"/>
          <w:u w:color="FF0000"/>
        </w:rPr>
        <w:t xml:space="preserve">a person could </w:t>
      </w:r>
      <w:r w:rsidR="00876CB4">
        <w:rPr>
          <w:rFonts w:ascii="Century Schoolbook" w:hAnsi="Century Schoolbook"/>
          <w:color w:val="000000" w:themeColor="text1"/>
          <w:sz w:val="27"/>
          <w:u w:color="FF0000"/>
        </w:rPr>
        <w:t>attach</w:t>
      </w:r>
      <w:r w:rsidR="00676A01">
        <w:rPr>
          <w:rFonts w:ascii="Century Schoolbook" w:hAnsi="Century Schoolbook"/>
          <w:color w:val="000000" w:themeColor="text1"/>
          <w:sz w:val="27"/>
          <w:u w:color="FF0000"/>
        </w:rPr>
        <w:t xml:space="preserve"> a pair of Smith &amp; Wess</w:t>
      </w:r>
      <w:r w:rsidR="007616AC">
        <w:rPr>
          <w:rFonts w:ascii="Century Schoolbook" w:hAnsi="Century Schoolbook"/>
          <w:color w:val="000000" w:themeColor="text1"/>
          <w:sz w:val="27"/>
          <w:u w:color="FF0000"/>
        </w:rPr>
        <w:t>o</w:t>
      </w:r>
      <w:r w:rsidR="00676A01">
        <w:rPr>
          <w:rFonts w:ascii="Century Schoolbook" w:hAnsi="Century Schoolbook"/>
          <w:color w:val="000000" w:themeColor="text1"/>
          <w:sz w:val="27"/>
          <w:u w:color="FF0000"/>
        </w:rPr>
        <w:t>n grips on</w:t>
      </w:r>
      <w:r w:rsidR="004E1FA4">
        <w:rPr>
          <w:rFonts w:ascii="Century Schoolbook" w:hAnsi="Century Schoolbook"/>
          <w:color w:val="000000" w:themeColor="text1"/>
          <w:sz w:val="27"/>
          <w:u w:color="FF0000"/>
        </w:rPr>
        <w:t>to</w:t>
      </w:r>
      <w:r w:rsidR="00676A01">
        <w:rPr>
          <w:rFonts w:ascii="Century Schoolbook" w:hAnsi="Century Schoolbook"/>
          <w:color w:val="000000" w:themeColor="text1"/>
          <w:sz w:val="27"/>
          <w:u w:color="FF0000"/>
        </w:rPr>
        <w:t xml:space="preserve"> another brand of gun.</w:t>
      </w:r>
    </w:p>
    <w:p w:rsidR="00BD707F"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 xml:space="preserve">Correctional nurse Jean Huang </w:t>
      </w:r>
      <w:r w:rsidRPr="0052255D" w:rsidR="002A1CAF">
        <w:rPr>
          <w:rFonts w:ascii="Century Schoolbook" w:hAnsi="Century Schoolbook"/>
          <w:color w:val="auto"/>
          <w:sz w:val="27"/>
          <w:u w:color="FF0000"/>
        </w:rPr>
        <w:t xml:space="preserve">treated Carrillo </w:t>
      </w:r>
      <w:r w:rsidRPr="0052255D" w:rsidR="008101AA">
        <w:rPr>
          <w:rFonts w:ascii="Century Schoolbook" w:hAnsi="Century Schoolbook"/>
          <w:color w:val="auto"/>
          <w:sz w:val="27"/>
          <w:u w:color="FF0000"/>
        </w:rPr>
        <w:t xml:space="preserve">for chest pain </w:t>
      </w:r>
      <w:r w:rsidRPr="0052255D" w:rsidR="002A1CAF">
        <w:rPr>
          <w:rFonts w:ascii="Century Schoolbook" w:hAnsi="Century Schoolbook"/>
          <w:color w:val="auto"/>
          <w:sz w:val="27"/>
          <w:u w:color="FF0000"/>
        </w:rPr>
        <w:t xml:space="preserve">when he was incarcerated at the Orange </w:t>
      </w:r>
      <w:r w:rsidRPr="0052255D" w:rsidR="008101AA">
        <w:rPr>
          <w:rFonts w:ascii="Century Schoolbook" w:hAnsi="Century Schoolbook"/>
          <w:color w:val="auto"/>
          <w:sz w:val="27"/>
          <w:u w:color="FF0000"/>
        </w:rPr>
        <w:t>County Jail.  Huang</w:t>
      </w:r>
      <w:r w:rsidRPr="0052255D" w:rsidR="00B73F40">
        <w:rPr>
          <w:rFonts w:ascii="Century Schoolbook" w:hAnsi="Century Schoolbook"/>
          <w:color w:val="auto"/>
          <w:sz w:val="27"/>
          <w:u w:color="FF0000"/>
        </w:rPr>
        <w:t xml:space="preserve"> testified that</w:t>
      </w:r>
      <w:r w:rsidRPr="0052255D" w:rsidR="008101AA">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Carrillo </w:t>
      </w:r>
      <w:r w:rsidRPr="0052255D" w:rsidR="000B030B">
        <w:rPr>
          <w:rFonts w:ascii="Century Schoolbook" w:hAnsi="Century Schoolbook"/>
          <w:color w:val="auto"/>
          <w:sz w:val="27"/>
          <w:u w:color="FF0000"/>
        </w:rPr>
        <w:t xml:space="preserve">had </w:t>
      </w:r>
      <w:r w:rsidRPr="0052255D">
        <w:rPr>
          <w:rFonts w:ascii="Century Schoolbook" w:hAnsi="Century Schoolbook"/>
          <w:color w:val="auto"/>
          <w:sz w:val="27"/>
          <w:u w:color="FF0000"/>
        </w:rPr>
        <w:t xml:space="preserve">told her </w:t>
      </w:r>
      <w:r w:rsidRPr="0052255D" w:rsidR="000B030B">
        <w:rPr>
          <w:rFonts w:ascii="Century Schoolbook" w:hAnsi="Century Schoolbook"/>
          <w:color w:val="auto"/>
          <w:sz w:val="27"/>
          <w:u w:color="FF0000"/>
        </w:rPr>
        <w:t xml:space="preserve">that </w:t>
      </w:r>
      <w:r w:rsidRPr="0052255D">
        <w:rPr>
          <w:rFonts w:ascii="Century Schoolbook" w:hAnsi="Century Schoolbook"/>
          <w:color w:val="auto"/>
          <w:sz w:val="27"/>
          <w:u w:color="FF0000"/>
        </w:rPr>
        <w:t xml:space="preserve">he </w:t>
      </w:r>
      <w:r w:rsidR="00354E27">
        <w:rPr>
          <w:rFonts w:ascii="Century Schoolbook" w:hAnsi="Century Schoolbook"/>
          <w:color w:val="auto"/>
          <w:sz w:val="27"/>
          <w:u w:color="FF0000"/>
        </w:rPr>
        <w:t xml:space="preserve">had been </w:t>
      </w:r>
      <w:r w:rsidRPr="0052255D" w:rsidR="004F559B">
        <w:rPr>
          <w:rFonts w:ascii="Century Schoolbook" w:hAnsi="Century Schoolbook"/>
          <w:color w:val="auto"/>
          <w:sz w:val="27"/>
          <w:u w:color="FF0000"/>
        </w:rPr>
        <w:t>a frequent</w:t>
      </w:r>
      <w:r w:rsidRPr="0052255D" w:rsidR="000B030B">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methamphetamine </w:t>
      </w:r>
      <w:r w:rsidRPr="0052255D" w:rsidR="004F559B">
        <w:rPr>
          <w:rFonts w:ascii="Century Schoolbook" w:hAnsi="Century Schoolbook"/>
          <w:color w:val="auto"/>
          <w:sz w:val="27"/>
          <w:u w:color="FF0000"/>
        </w:rPr>
        <w:t>user</w:t>
      </w:r>
      <w:r w:rsidRPr="0052255D" w:rsidR="00BC6A60">
        <w:rPr>
          <w:rFonts w:ascii="Century Schoolbook" w:hAnsi="Century Schoolbook"/>
          <w:color w:val="auto"/>
          <w:sz w:val="27"/>
          <w:u w:color="FF0000"/>
        </w:rPr>
        <w:t xml:space="preserve"> </w:t>
      </w:r>
      <w:r w:rsidRPr="0052255D">
        <w:rPr>
          <w:rFonts w:ascii="Century Schoolbook" w:hAnsi="Century Schoolbook"/>
          <w:color w:val="auto"/>
          <w:sz w:val="27"/>
          <w:u w:color="FF0000"/>
        </w:rPr>
        <w:t xml:space="preserve">and </w:t>
      </w:r>
      <w:r w:rsidRPr="0052255D" w:rsidR="004F559B">
        <w:rPr>
          <w:rFonts w:ascii="Century Schoolbook" w:hAnsi="Century Schoolbook"/>
          <w:color w:val="auto"/>
          <w:sz w:val="27"/>
          <w:u w:color="FF0000"/>
        </w:rPr>
        <w:t>heavy alcohol drinker</w:t>
      </w:r>
      <w:r w:rsidRPr="0052255D">
        <w:rPr>
          <w:rFonts w:ascii="Century Schoolbook" w:hAnsi="Century Schoolbook"/>
          <w:color w:val="auto"/>
          <w:sz w:val="27"/>
          <w:u w:color="FF0000"/>
        </w:rPr>
        <w:t xml:space="preserve">.  Forensic toxicologist Darrell Clardy testified </w:t>
      </w:r>
      <w:r w:rsidRPr="0052255D" w:rsidR="00104FB6">
        <w:rPr>
          <w:rFonts w:ascii="Century Schoolbook" w:hAnsi="Century Schoolbook"/>
          <w:color w:val="auto"/>
          <w:sz w:val="27"/>
          <w:u w:color="FF0000"/>
        </w:rPr>
        <w:t>that a person</w:t>
      </w:r>
      <w:r w:rsidRPr="0052255D" w:rsidR="00DA5B7F">
        <w:rPr>
          <w:rFonts w:ascii="Century Schoolbook" w:hAnsi="Century Schoolbook"/>
          <w:color w:val="auto"/>
          <w:sz w:val="27"/>
          <w:u w:color="FF0000"/>
        </w:rPr>
        <w:t xml:space="preserve"> </w:t>
      </w:r>
      <w:r w:rsidRPr="0052255D" w:rsidR="00CB3974">
        <w:rPr>
          <w:rFonts w:ascii="Century Schoolbook" w:hAnsi="Century Schoolbook"/>
          <w:color w:val="auto"/>
          <w:sz w:val="27"/>
          <w:u w:color="FF0000"/>
        </w:rPr>
        <w:t xml:space="preserve">who consumed as much </w:t>
      </w:r>
      <w:r w:rsidRPr="0052255D">
        <w:rPr>
          <w:rFonts w:ascii="Century Schoolbook" w:hAnsi="Century Schoolbook"/>
          <w:color w:val="auto"/>
          <w:sz w:val="27"/>
          <w:u w:color="FF0000"/>
        </w:rPr>
        <w:t>alcohol and drug</w:t>
      </w:r>
      <w:r w:rsidRPr="0052255D" w:rsidR="00CB3974">
        <w:rPr>
          <w:rFonts w:ascii="Century Schoolbook" w:hAnsi="Century Schoolbook"/>
          <w:color w:val="auto"/>
          <w:sz w:val="27"/>
          <w:u w:color="FF0000"/>
        </w:rPr>
        <w:t>s</w:t>
      </w:r>
      <w:r w:rsidRPr="0052255D">
        <w:rPr>
          <w:rFonts w:ascii="Century Schoolbook" w:hAnsi="Century Schoolbook"/>
          <w:color w:val="auto"/>
          <w:sz w:val="27"/>
          <w:u w:color="FF0000"/>
        </w:rPr>
        <w:t xml:space="preserve"> </w:t>
      </w:r>
      <w:r w:rsidRPr="0052255D" w:rsidR="00CB3974">
        <w:rPr>
          <w:rFonts w:ascii="Century Schoolbook" w:hAnsi="Century Schoolbook"/>
          <w:color w:val="auto"/>
          <w:sz w:val="27"/>
          <w:u w:color="FF0000"/>
        </w:rPr>
        <w:t xml:space="preserve">as Carrillo reported would likely </w:t>
      </w:r>
      <w:r w:rsidRPr="0052255D">
        <w:rPr>
          <w:rFonts w:ascii="Century Schoolbook" w:hAnsi="Century Schoolbook"/>
          <w:color w:val="auto"/>
          <w:sz w:val="27"/>
          <w:u w:color="FF0000"/>
        </w:rPr>
        <w:t>be disoriented, confused, and susceptible to misinterpreting what was</w:t>
      </w:r>
      <w:r w:rsidRPr="0052255D" w:rsidR="006303F3">
        <w:rPr>
          <w:rFonts w:ascii="Century Schoolbook" w:hAnsi="Century Schoolbook"/>
          <w:color w:val="auto"/>
          <w:sz w:val="27"/>
          <w:u w:color="FF0000"/>
        </w:rPr>
        <w:t xml:space="preserve"> happening</w:t>
      </w:r>
      <w:r w:rsidRPr="0052255D">
        <w:rPr>
          <w:rFonts w:ascii="Century Schoolbook" w:hAnsi="Century Schoolbook"/>
          <w:color w:val="auto"/>
          <w:sz w:val="27"/>
          <w:u w:color="FF0000"/>
        </w:rPr>
        <w:t>.</w:t>
      </w:r>
      <w:r w:rsidRPr="0052255D">
        <w:rPr>
          <w:rFonts w:ascii="Century Schoolbook" w:hAnsi="Century Schoolbook"/>
          <w:color w:val="000000" w:themeColor="text1"/>
          <w:sz w:val="27"/>
          <w:u w:color="FF0000"/>
        </w:rPr>
        <w:t xml:space="preserve">  </w:t>
      </w:r>
    </w:p>
    <w:p w:rsidR="007D0134" w:rsidRPr="0052255D" w:rsidP="0052255D">
      <w:pPr>
        <w:tabs>
          <w:tab w:val="left" w:pos="1440"/>
        </w:tabs>
        <w:ind w:firstLine="720"/>
        <w:rPr>
          <w:u w:color="FF0000"/>
        </w:rPr>
      </w:pPr>
      <w:r w:rsidRPr="0052255D">
        <w:rPr>
          <w:u w:color="FF0000"/>
        </w:rPr>
        <w:t xml:space="preserve">Shawn Monroe testified that defendant and Carrillo </w:t>
      </w:r>
      <w:r w:rsidRPr="0052255D" w:rsidR="007B4D78">
        <w:rPr>
          <w:u w:color="FF0000"/>
        </w:rPr>
        <w:t>came to his</w:t>
      </w:r>
      <w:r w:rsidRPr="0052255D">
        <w:rPr>
          <w:u w:color="FF0000"/>
        </w:rPr>
        <w:t xml:space="preserve"> home in November 1997, </w:t>
      </w:r>
      <w:r w:rsidRPr="0052255D" w:rsidR="00B258F0">
        <w:rPr>
          <w:u w:color="FF0000"/>
        </w:rPr>
        <w:t>at which time</w:t>
      </w:r>
      <w:r w:rsidRPr="0052255D">
        <w:rPr>
          <w:u w:color="FF0000"/>
        </w:rPr>
        <w:t xml:space="preserve"> Carrillo </w:t>
      </w:r>
      <w:r w:rsidRPr="0052255D" w:rsidR="00E124CA">
        <w:rPr>
          <w:u w:color="FF0000"/>
        </w:rPr>
        <w:t>inquired about procur</w:t>
      </w:r>
      <w:r w:rsidR="00756653">
        <w:rPr>
          <w:u w:color="FF0000"/>
        </w:rPr>
        <w:t xml:space="preserve">ing </w:t>
      </w:r>
      <w:r w:rsidRPr="0052255D">
        <w:rPr>
          <w:u w:color="FF0000"/>
        </w:rPr>
        <w:t>false identification cards.  When Monroe asked Carrillo why the fake identifications</w:t>
      </w:r>
      <w:r w:rsidRPr="0052255D" w:rsidR="00BD0427">
        <w:rPr>
          <w:u w:color="FF0000"/>
        </w:rPr>
        <w:t xml:space="preserve"> were needed</w:t>
      </w:r>
      <w:r w:rsidRPr="0052255D">
        <w:rPr>
          <w:u w:color="FF0000"/>
        </w:rPr>
        <w:t xml:space="preserve">, Carrillo </w:t>
      </w:r>
      <w:r w:rsidRPr="0052255D" w:rsidR="00BD0427">
        <w:rPr>
          <w:u w:color="FF0000"/>
        </w:rPr>
        <w:t xml:space="preserve">responded </w:t>
      </w:r>
      <w:r w:rsidRPr="0052255D">
        <w:rPr>
          <w:u w:color="FF0000"/>
        </w:rPr>
        <w:t xml:space="preserve">that he “just shot some fools in Orange County and he </w:t>
      </w:r>
      <w:r w:rsidRPr="0052255D" w:rsidR="00336E21">
        <w:rPr>
          <w:u w:color="FF0000"/>
        </w:rPr>
        <w:t>“need</w:t>
      </w:r>
      <w:r w:rsidRPr="0052255D" w:rsidR="00291A4F">
        <w:rPr>
          <w:u w:color="FF0000"/>
        </w:rPr>
        <w:t>[ed]</w:t>
      </w:r>
      <w:r w:rsidRPr="0052255D" w:rsidR="00336E21">
        <w:rPr>
          <w:u w:color="FF0000"/>
        </w:rPr>
        <w:t xml:space="preserve"> </w:t>
      </w:r>
      <w:r w:rsidRPr="0052255D">
        <w:rPr>
          <w:u w:color="FF0000"/>
        </w:rPr>
        <w:t>to leave town.</w:t>
      </w:r>
      <w:r w:rsidRPr="0052255D" w:rsidR="00336E21">
        <w:rPr>
          <w:u w:color="FF0000"/>
        </w:rPr>
        <w:t>”</w:t>
      </w:r>
      <w:r w:rsidRPr="0052255D">
        <w:rPr>
          <w:u w:color="FF0000"/>
        </w:rPr>
        <w:t xml:space="preserve">  Defendant </w:t>
      </w:r>
      <w:r w:rsidRPr="0052255D" w:rsidR="00336E21">
        <w:rPr>
          <w:u w:color="FF0000"/>
        </w:rPr>
        <w:t xml:space="preserve">instructed </w:t>
      </w:r>
      <w:r w:rsidRPr="0052255D">
        <w:rPr>
          <w:u w:color="FF0000"/>
        </w:rPr>
        <w:t xml:space="preserve">Carrillo to </w:t>
      </w:r>
      <w:r w:rsidRPr="0052255D" w:rsidR="00CD3307">
        <w:rPr>
          <w:u w:color="FF0000"/>
        </w:rPr>
        <w:t>“shut up</w:t>
      </w:r>
      <w:r w:rsidRPr="0052255D" w:rsidR="006625BE">
        <w:rPr>
          <w:u w:color="FF0000"/>
        </w:rPr>
        <w:t>.”  B</w:t>
      </w:r>
      <w:r w:rsidRPr="0052255D" w:rsidR="00D677AB">
        <w:rPr>
          <w:u w:color="FF0000"/>
        </w:rPr>
        <w:t xml:space="preserve">ased on </w:t>
      </w:r>
      <w:r w:rsidRPr="0052255D" w:rsidR="006625BE">
        <w:rPr>
          <w:u w:color="FF0000"/>
        </w:rPr>
        <w:t>their</w:t>
      </w:r>
      <w:r w:rsidRPr="0052255D" w:rsidR="00B258F0">
        <w:rPr>
          <w:u w:color="FF0000"/>
        </w:rPr>
        <w:t xml:space="preserve"> interaction,</w:t>
      </w:r>
      <w:r w:rsidRPr="0052255D" w:rsidR="006625BE">
        <w:rPr>
          <w:u w:color="FF0000"/>
        </w:rPr>
        <w:t xml:space="preserve"> Monroe thought</w:t>
      </w:r>
      <w:r w:rsidRPr="0052255D">
        <w:rPr>
          <w:u w:color="FF0000"/>
        </w:rPr>
        <w:t xml:space="preserve"> that Carrillo was the shooter.  </w:t>
      </w:r>
    </w:p>
    <w:p w:rsidR="001E650D" w:rsidRPr="0052255D" w:rsidP="0052255D">
      <w:pPr>
        <w:tabs>
          <w:tab w:val="left" w:pos="1440"/>
        </w:tabs>
        <w:ind w:firstLine="720"/>
      </w:pPr>
      <w:r w:rsidRPr="0052255D">
        <w:rPr>
          <w:u w:color="FF0000"/>
        </w:rPr>
        <w:t xml:space="preserve">Quiambao also testified that </w:t>
      </w:r>
      <w:r w:rsidRPr="0052255D" w:rsidR="00014BC6">
        <w:rPr>
          <w:u w:color="FF0000"/>
        </w:rPr>
        <w:t xml:space="preserve">in 2001 </w:t>
      </w:r>
      <w:r w:rsidRPr="0052255D">
        <w:rPr>
          <w:u w:color="FF0000"/>
        </w:rPr>
        <w:t xml:space="preserve">Carrillo </w:t>
      </w:r>
      <w:r w:rsidRPr="0052255D" w:rsidR="007F5C33">
        <w:rPr>
          <w:u w:color="FF0000"/>
        </w:rPr>
        <w:t>admitted</w:t>
      </w:r>
      <w:r w:rsidRPr="0052255D" w:rsidR="007D0134">
        <w:rPr>
          <w:u w:color="FF0000"/>
        </w:rPr>
        <w:t xml:space="preserve"> </w:t>
      </w:r>
      <w:r w:rsidRPr="0052255D">
        <w:rPr>
          <w:u w:color="FF0000"/>
        </w:rPr>
        <w:t xml:space="preserve">that he </w:t>
      </w:r>
      <w:r w:rsidRPr="0052255D" w:rsidR="007F5C33">
        <w:rPr>
          <w:u w:color="FF0000"/>
        </w:rPr>
        <w:t>was the shooter</w:t>
      </w:r>
      <w:r w:rsidRPr="0052255D" w:rsidR="003949C6">
        <w:rPr>
          <w:u w:color="FF0000"/>
        </w:rPr>
        <w:t xml:space="preserve">.  </w:t>
      </w:r>
      <w:r w:rsidRPr="0052255D" w:rsidR="00F71DD1">
        <w:rPr>
          <w:u w:color="FF0000"/>
        </w:rPr>
        <w:t xml:space="preserve">However, </w:t>
      </w:r>
      <w:r w:rsidRPr="0052255D" w:rsidR="003A68B4">
        <w:rPr>
          <w:u w:color="FF0000"/>
        </w:rPr>
        <w:t>Quiambao</w:t>
      </w:r>
      <w:r w:rsidRPr="0052255D" w:rsidR="007F72EE">
        <w:rPr>
          <w:u w:color="FF0000"/>
        </w:rPr>
        <w:t xml:space="preserve"> was impeached </w:t>
      </w:r>
      <w:r w:rsidRPr="0052255D" w:rsidR="00F71DD1">
        <w:rPr>
          <w:u w:color="FF0000"/>
        </w:rPr>
        <w:t xml:space="preserve">on cross-examination </w:t>
      </w:r>
      <w:r w:rsidRPr="0052255D" w:rsidR="007F72EE">
        <w:rPr>
          <w:u w:color="FF0000"/>
        </w:rPr>
        <w:t xml:space="preserve">by </w:t>
      </w:r>
      <w:r w:rsidRPr="0052255D" w:rsidR="00291A4F">
        <w:rPr>
          <w:u w:color="FF0000"/>
        </w:rPr>
        <w:t>a</w:t>
      </w:r>
      <w:r w:rsidRPr="0052255D" w:rsidR="00F71DD1">
        <w:rPr>
          <w:u w:color="FF0000"/>
        </w:rPr>
        <w:t xml:space="preserve"> </w:t>
      </w:r>
      <w:r w:rsidRPr="0052255D" w:rsidR="007F72EE">
        <w:rPr>
          <w:u w:color="FF0000"/>
        </w:rPr>
        <w:t>taped interview with detectives</w:t>
      </w:r>
      <w:r w:rsidRPr="0052255D" w:rsidR="007F5C33">
        <w:rPr>
          <w:u w:color="FF0000"/>
        </w:rPr>
        <w:t>,</w:t>
      </w:r>
      <w:r w:rsidRPr="0052255D" w:rsidR="00014BC6">
        <w:rPr>
          <w:u w:color="FF0000"/>
        </w:rPr>
        <w:t xml:space="preserve"> in which he stated that defendant was the shooter</w:t>
      </w:r>
      <w:r w:rsidRPr="0052255D">
        <w:rPr>
          <w:u w:color="FF0000"/>
        </w:rPr>
        <w:t xml:space="preserve">.  </w:t>
      </w:r>
    </w:p>
    <w:p w:rsidR="00494902" w:rsidRPr="0052255D" w:rsidP="0052255D">
      <w:pPr>
        <w:pStyle w:val="Heading2"/>
      </w:pPr>
      <w:bookmarkStart w:id="5" w:name="_Toc94515325"/>
      <w:r w:rsidRPr="0052255D">
        <w:t xml:space="preserve">B.  </w:t>
      </w:r>
      <w:r w:rsidRPr="0052255D">
        <w:t>Penalty Phase Evidence</w:t>
      </w:r>
      <w:bookmarkEnd w:id="5"/>
    </w:p>
    <w:p w:rsidR="00494902" w:rsidRPr="0052255D" w:rsidP="0052255D">
      <w:pPr>
        <w:pStyle w:val="Heading3"/>
      </w:pPr>
      <w:bookmarkStart w:id="6" w:name="_Toc94515326"/>
      <w:r w:rsidRPr="0052255D">
        <w:t xml:space="preserve">1.  </w:t>
      </w:r>
      <w:r w:rsidRPr="0052255D">
        <w:t>Prosecution evidence</w:t>
      </w:r>
      <w:bookmarkEnd w:id="6"/>
    </w:p>
    <w:p w:rsidR="00494902" w:rsidRPr="0052255D" w:rsidP="0052255D">
      <w:pPr>
        <w:tabs>
          <w:tab w:val="left" w:pos="1440"/>
        </w:tabs>
        <w:ind w:firstLine="720"/>
      </w:pPr>
      <w:r w:rsidRPr="0052255D">
        <w:t>The prosecution’s case in aggravation included evidence regarding defendant’s criminal history and victim impact testimony.</w:t>
      </w:r>
    </w:p>
    <w:p w:rsidR="00235428" w:rsidRPr="0052255D" w:rsidP="0052255D">
      <w:pPr>
        <w:tabs>
          <w:tab w:val="left" w:pos="1440"/>
        </w:tabs>
        <w:ind w:firstLine="720"/>
        <w:rPr>
          <w:color w:val="000000" w:themeColor="text1"/>
        </w:rPr>
      </w:pPr>
      <w:r w:rsidRPr="0052255D">
        <w:t>In March 19</w:t>
      </w:r>
      <w:r w:rsidRPr="0052255D" w:rsidR="00DB29A1">
        <w:t>8</w:t>
      </w:r>
      <w:r w:rsidRPr="0052255D">
        <w:t>8, w</w:t>
      </w:r>
      <w:r w:rsidRPr="0052255D" w:rsidR="005E7430">
        <w:t>hen defendant was in seventh grade</w:t>
      </w:r>
      <w:r w:rsidRPr="0052255D" w:rsidR="00950CB4">
        <w:t xml:space="preserve">, </w:t>
      </w:r>
      <w:r w:rsidRPr="0052255D" w:rsidR="005E7430">
        <w:t xml:space="preserve">he </w:t>
      </w:r>
      <w:r w:rsidRPr="0052255D" w:rsidR="00950CB4">
        <w:t xml:space="preserve">exposed himself to </w:t>
      </w:r>
      <w:r w:rsidRPr="0052255D" w:rsidR="00991501">
        <w:t xml:space="preserve">two female students and touched </w:t>
      </w:r>
      <w:r w:rsidRPr="0052255D" w:rsidR="00AD5595">
        <w:t xml:space="preserve">their </w:t>
      </w:r>
      <w:r w:rsidRPr="0052255D" w:rsidR="008C470E">
        <w:t>breasts and buttocks</w:t>
      </w:r>
      <w:r w:rsidRPr="0052255D" w:rsidR="005E7430">
        <w:t xml:space="preserve">.  </w:t>
      </w:r>
      <w:r w:rsidRPr="0052255D">
        <w:t>In June 1991</w:t>
      </w:r>
      <w:r w:rsidRPr="0052255D" w:rsidR="008F020B">
        <w:t xml:space="preserve">, defendant and three other individuals </w:t>
      </w:r>
      <w:r w:rsidRPr="0052255D" w:rsidR="00FC530A">
        <w:t xml:space="preserve">robbed </w:t>
      </w:r>
      <w:r w:rsidRPr="0052255D" w:rsidR="00AD19B1">
        <w:t>Thomas Kinsey</w:t>
      </w:r>
      <w:r w:rsidRPr="0052255D" w:rsidR="00485B9A">
        <w:t xml:space="preserve">.  </w:t>
      </w:r>
      <w:r w:rsidRPr="0052255D" w:rsidR="004824CC">
        <w:t>In December 1993, defendant robbed</w:t>
      </w:r>
      <w:r w:rsidR="00896E10">
        <w:t xml:space="preserve"> another person,</w:t>
      </w:r>
      <w:r w:rsidRPr="0052255D" w:rsidR="004824CC">
        <w:t xml:space="preserve"> John Hagen</w:t>
      </w:r>
      <w:r w:rsidR="00A064F3">
        <w:t>,</w:t>
      </w:r>
      <w:r w:rsidRPr="0052255D" w:rsidR="004824CC">
        <w:t xml:space="preserve"> at gunpoint.</w:t>
      </w:r>
      <w:r w:rsidRPr="0052255D" w:rsidR="00EE2A6F">
        <w:t xml:space="preserve">  </w:t>
      </w:r>
    </w:p>
    <w:p w:rsidR="00BB4D66" w:rsidRPr="0052255D" w:rsidP="0052255D">
      <w:pPr>
        <w:tabs>
          <w:tab w:val="left" w:pos="1440"/>
        </w:tabs>
        <w:ind w:firstLine="720"/>
      </w:pPr>
      <w:r w:rsidRPr="0052255D">
        <w:t>Two of Johnson’s cousins</w:t>
      </w:r>
      <w:r w:rsidRPr="0052255D" w:rsidR="00B455B3">
        <w:t xml:space="preserve"> </w:t>
      </w:r>
      <w:r w:rsidRPr="0052255D">
        <w:t>described the</w:t>
      </w:r>
      <w:r w:rsidRPr="0052255D" w:rsidR="00B455B3">
        <w:t>ir</w:t>
      </w:r>
      <w:r w:rsidRPr="0052255D">
        <w:t xml:space="preserve"> close relationship with </w:t>
      </w:r>
      <w:r w:rsidR="00A10E19">
        <w:t xml:space="preserve">him </w:t>
      </w:r>
      <w:r w:rsidRPr="0052255D">
        <w:t xml:space="preserve">and </w:t>
      </w:r>
      <w:r w:rsidRPr="0052255D" w:rsidR="00FB761E">
        <w:t xml:space="preserve">explained </w:t>
      </w:r>
      <w:r w:rsidRPr="0052255D" w:rsidR="006F5E6A">
        <w:t>how his death impacted the</w:t>
      </w:r>
      <w:r w:rsidRPr="0052255D" w:rsidR="00DA2030">
        <w:t>ir families’ lives</w:t>
      </w:r>
      <w:r w:rsidRPr="0052255D" w:rsidR="009553EF">
        <w:t>.</w:t>
      </w:r>
      <w:r w:rsidRPr="0052255D" w:rsidR="00DA2030">
        <w:t xml:space="preserve">  </w:t>
      </w:r>
      <w:r w:rsidRPr="0052255D" w:rsidR="00C13C13">
        <w:t xml:space="preserve">Johnson’s </w:t>
      </w:r>
      <w:r w:rsidRPr="0052255D" w:rsidR="00D14F48">
        <w:t>girlfriend</w:t>
      </w:r>
      <w:r w:rsidRPr="0052255D" w:rsidR="00B455B3">
        <w:t xml:space="preserve"> d</w:t>
      </w:r>
      <w:r w:rsidRPr="0052255D" w:rsidR="00D14F48">
        <w:t xml:space="preserve">escribed the </w:t>
      </w:r>
      <w:r w:rsidRPr="0052255D" w:rsidR="008A69F4">
        <w:t>grief and emotional struggle she felt after Johnson died.</w:t>
      </w:r>
    </w:p>
    <w:p w:rsidR="00494902" w:rsidRPr="0052255D" w:rsidP="0052255D">
      <w:pPr>
        <w:pStyle w:val="Heading3"/>
      </w:pPr>
      <w:bookmarkStart w:id="7" w:name="_Toc94515327"/>
      <w:r w:rsidRPr="0052255D">
        <w:t xml:space="preserve">2.  </w:t>
      </w:r>
      <w:r w:rsidRPr="0052255D">
        <w:t>Defense evidence</w:t>
      </w:r>
      <w:bookmarkEnd w:id="7"/>
    </w:p>
    <w:p w:rsidR="008A5603"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In mitigation, the defense focused on defendan</w:t>
      </w:r>
      <w:r w:rsidRPr="0052255D" w:rsidR="00246881">
        <w:rPr>
          <w:rFonts w:ascii="Century Schoolbook" w:hAnsi="Century Schoolbook"/>
          <w:sz w:val="27"/>
        </w:rPr>
        <w:t>t</w:t>
      </w:r>
      <w:r w:rsidRPr="0052255D" w:rsidR="00E428AE">
        <w:rPr>
          <w:rFonts w:ascii="Century Schoolbook" w:hAnsi="Century Schoolbook"/>
          <w:sz w:val="27"/>
        </w:rPr>
        <w:t>’</w:t>
      </w:r>
      <w:r w:rsidRPr="0052255D">
        <w:rPr>
          <w:rFonts w:ascii="Century Schoolbook" w:hAnsi="Century Schoolbook"/>
          <w:sz w:val="27"/>
        </w:rPr>
        <w:t xml:space="preserve">s family history, background and character, brain activity, and adjustment to prison.  </w:t>
      </w:r>
      <w:r w:rsidR="00531E77">
        <w:rPr>
          <w:rFonts w:ascii="Century Schoolbook" w:hAnsi="Century Schoolbook"/>
          <w:sz w:val="27"/>
        </w:rPr>
        <w:t xml:space="preserve">Concerning </w:t>
      </w:r>
      <w:r w:rsidRPr="0052255D" w:rsidR="00291A4F">
        <w:rPr>
          <w:rFonts w:ascii="Century Schoolbook" w:hAnsi="Century Schoolbook"/>
          <w:sz w:val="27"/>
        </w:rPr>
        <w:t>these matters, d</w:t>
      </w:r>
      <w:r w:rsidRPr="0052255D">
        <w:rPr>
          <w:rFonts w:ascii="Century Schoolbook" w:hAnsi="Century Schoolbook"/>
          <w:sz w:val="27"/>
        </w:rPr>
        <w:t xml:space="preserve">efendant presented the testimony of several family members as well as various experts.  </w:t>
      </w:r>
      <w:r w:rsidR="009932D0">
        <w:rPr>
          <w:rFonts w:ascii="Century Schoolbook" w:hAnsi="Century Schoolbook"/>
          <w:sz w:val="27"/>
        </w:rPr>
        <w:t xml:space="preserve">He </w:t>
      </w:r>
      <w:r w:rsidRPr="0052255D">
        <w:rPr>
          <w:rFonts w:ascii="Century Schoolbook" w:hAnsi="Century Schoolbook"/>
          <w:sz w:val="27"/>
        </w:rPr>
        <w:t xml:space="preserve">also </w:t>
      </w:r>
      <w:r w:rsidRPr="0052255D" w:rsidR="00291A4F">
        <w:rPr>
          <w:rFonts w:ascii="Century Schoolbook" w:hAnsi="Century Schoolbook"/>
          <w:sz w:val="27"/>
        </w:rPr>
        <w:t xml:space="preserve">took the stand </w:t>
      </w:r>
      <w:r w:rsidRPr="0052255D">
        <w:rPr>
          <w:rFonts w:ascii="Century Schoolbook" w:hAnsi="Century Schoolbook"/>
          <w:sz w:val="27"/>
        </w:rPr>
        <w:t xml:space="preserve">on his </w:t>
      </w:r>
      <w:r w:rsidRPr="0052255D" w:rsidR="00291A4F">
        <w:rPr>
          <w:rFonts w:ascii="Century Schoolbook" w:hAnsi="Century Schoolbook"/>
          <w:sz w:val="27"/>
        </w:rPr>
        <w:t xml:space="preserve">own </w:t>
      </w:r>
      <w:r w:rsidRPr="0052255D">
        <w:rPr>
          <w:rFonts w:ascii="Century Schoolbook" w:hAnsi="Century Schoolbook"/>
          <w:sz w:val="27"/>
        </w:rPr>
        <w:t>behalf</w:t>
      </w:r>
      <w:r w:rsidRPr="0052255D" w:rsidR="00291A4F">
        <w:rPr>
          <w:rFonts w:ascii="Century Schoolbook" w:hAnsi="Century Schoolbook"/>
          <w:sz w:val="27"/>
        </w:rPr>
        <w:t xml:space="preserve"> once again</w:t>
      </w:r>
      <w:r w:rsidRPr="0052255D">
        <w:rPr>
          <w:rFonts w:ascii="Century Schoolbook" w:hAnsi="Century Schoolbook"/>
          <w:color w:val="auto"/>
          <w:sz w:val="27"/>
        </w:rPr>
        <w:t xml:space="preserve">.  </w:t>
      </w:r>
    </w:p>
    <w:p w:rsidR="008A5603"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 xml:space="preserve">Professor Inoke Funaki testified as an expert witness on Tongan culture.  </w:t>
      </w:r>
      <w:r w:rsidRPr="0052255D" w:rsidR="0087217F">
        <w:rPr>
          <w:rFonts w:ascii="Century Schoolbook" w:hAnsi="Century Schoolbook"/>
          <w:sz w:val="27"/>
        </w:rPr>
        <w:t>He</w:t>
      </w:r>
      <w:r w:rsidRPr="0052255D">
        <w:rPr>
          <w:rFonts w:ascii="Century Schoolbook" w:hAnsi="Century Schoolbook"/>
          <w:sz w:val="27"/>
        </w:rPr>
        <w:t xml:space="preserve"> described Tongan parenting style as authoritarian and strict, </w:t>
      </w:r>
      <w:r w:rsidRPr="0052255D" w:rsidR="008C6783">
        <w:rPr>
          <w:rFonts w:ascii="Century Schoolbook" w:hAnsi="Century Schoolbook"/>
          <w:sz w:val="27"/>
        </w:rPr>
        <w:t>adding</w:t>
      </w:r>
      <w:r w:rsidRPr="0052255D">
        <w:rPr>
          <w:rFonts w:ascii="Century Schoolbook" w:hAnsi="Century Schoolbook"/>
          <w:sz w:val="27"/>
        </w:rPr>
        <w:t xml:space="preserve"> that it is common for </w:t>
      </w:r>
      <w:r w:rsidRPr="0052255D" w:rsidR="008C6783">
        <w:rPr>
          <w:rFonts w:ascii="Century Schoolbook" w:hAnsi="Century Schoolbook"/>
          <w:sz w:val="27"/>
        </w:rPr>
        <w:t xml:space="preserve">Tongan </w:t>
      </w:r>
      <w:r w:rsidRPr="0052255D">
        <w:rPr>
          <w:rFonts w:ascii="Century Schoolbook" w:hAnsi="Century Schoolbook"/>
          <w:sz w:val="27"/>
        </w:rPr>
        <w:t xml:space="preserve">husbands to physically abuse their wives and </w:t>
      </w:r>
      <w:r w:rsidRPr="0052255D">
        <w:rPr>
          <w:rFonts w:ascii="Century Schoolbook" w:hAnsi="Century Schoolbook"/>
          <w:color w:val="auto"/>
          <w:sz w:val="27"/>
        </w:rPr>
        <w:t xml:space="preserve">children.  </w:t>
      </w:r>
      <w:r w:rsidRPr="0052255D">
        <w:rPr>
          <w:rFonts w:ascii="Century Schoolbook" w:hAnsi="Century Schoolbook"/>
          <w:color w:val="auto"/>
          <w:sz w:val="27"/>
          <w:u w:color="FF0000"/>
        </w:rPr>
        <w:t xml:space="preserve">  </w:t>
      </w:r>
    </w:p>
    <w:p w:rsidR="00447433"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D</w:t>
      </w:r>
      <w:r w:rsidRPr="0052255D">
        <w:rPr>
          <w:rFonts w:ascii="Century Schoolbook" w:hAnsi="Century Schoolbook"/>
          <w:sz w:val="27"/>
          <w:lang w:val="fr-FR"/>
        </w:rPr>
        <w:t>efendant</w:t>
      </w:r>
      <w:r w:rsidRPr="0052255D">
        <w:rPr>
          <w:rFonts w:ascii="Century Schoolbook" w:hAnsi="Century Schoolbook"/>
          <w:sz w:val="27"/>
        </w:rPr>
        <w:t xml:space="preserve"> and several of his family members described the emotional and physical abuse that occurred in def</w:t>
      </w:r>
      <w:r w:rsidRPr="0052255D">
        <w:rPr>
          <w:rFonts w:ascii="Century Schoolbook" w:hAnsi="Century Schoolbook"/>
          <w:color w:val="auto"/>
          <w:sz w:val="27"/>
        </w:rPr>
        <w:t>e</w:t>
      </w:r>
      <w:r w:rsidRPr="0052255D" w:rsidR="00BF3A93">
        <w:rPr>
          <w:rFonts w:ascii="Century Schoolbook" w:hAnsi="Century Schoolbook"/>
          <w:color w:val="auto"/>
          <w:sz w:val="27"/>
        </w:rPr>
        <w:t>ndant’s</w:t>
      </w:r>
      <w:r w:rsidRPr="0052255D">
        <w:rPr>
          <w:rFonts w:ascii="Century Schoolbook" w:hAnsi="Century Schoolbook"/>
          <w:color w:val="auto"/>
          <w:sz w:val="27"/>
        </w:rPr>
        <w:t xml:space="preserve"> home.  </w:t>
      </w:r>
      <w:r w:rsidRPr="0052255D" w:rsidR="00936348">
        <w:rPr>
          <w:rFonts w:ascii="Century Schoolbook" w:hAnsi="Century Schoolbook"/>
          <w:sz w:val="27"/>
        </w:rPr>
        <w:t>Defendant’s parents</w:t>
      </w:r>
      <w:r w:rsidRPr="0052255D">
        <w:rPr>
          <w:rFonts w:ascii="Century Schoolbook" w:hAnsi="Century Schoolbook"/>
          <w:sz w:val="27"/>
        </w:rPr>
        <w:t xml:space="preserve"> argued constantly, and defend</w:t>
      </w:r>
      <w:r w:rsidRPr="0052255D" w:rsidR="00BF3A93">
        <w:rPr>
          <w:rFonts w:ascii="Century Schoolbook" w:hAnsi="Century Schoolbook"/>
          <w:sz w:val="27"/>
        </w:rPr>
        <w:t xml:space="preserve">ant’s </w:t>
      </w:r>
      <w:r w:rsidRPr="0052255D">
        <w:rPr>
          <w:rFonts w:ascii="Century Schoolbook" w:hAnsi="Century Schoolbook"/>
          <w:sz w:val="27"/>
        </w:rPr>
        <w:t>father often beat his mother.  D</w:t>
      </w:r>
      <w:r w:rsidRPr="0052255D" w:rsidR="00BF3A93">
        <w:rPr>
          <w:rFonts w:ascii="Century Schoolbook" w:hAnsi="Century Schoolbook"/>
          <w:sz w:val="27"/>
        </w:rPr>
        <w:t xml:space="preserve">efendant’s </w:t>
      </w:r>
      <w:r w:rsidRPr="0052255D">
        <w:rPr>
          <w:rFonts w:ascii="Century Schoolbook" w:hAnsi="Century Schoolbook"/>
          <w:sz w:val="27"/>
        </w:rPr>
        <w:t xml:space="preserve">parents also </w:t>
      </w:r>
      <w:r w:rsidRPr="0052255D" w:rsidR="00936348">
        <w:rPr>
          <w:rFonts w:ascii="Century Schoolbook" w:hAnsi="Century Schoolbook"/>
          <w:sz w:val="27"/>
        </w:rPr>
        <w:t xml:space="preserve">hit </w:t>
      </w:r>
      <w:r w:rsidRPr="0052255D">
        <w:rPr>
          <w:rFonts w:ascii="Century Schoolbook" w:hAnsi="Century Schoolbook"/>
          <w:sz w:val="27"/>
        </w:rPr>
        <w:t>defendant</w:t>
      </w:r>
      <w:r w:rsidRPr="0052255D" w:rsidR="00B466CB">
        <w:rPr>
          <w:rFonts w:ascii="Century Schoolbook" w:hAnsi="Century Schoolbook"/>
          <w:sz w:val="27"/>
        </w:rPr>
        <w:t xml:space="preserve"> and beat him with</w:t>
      </w:r>
      <w:r w:rsidRPr="0052255D" w:rsidR="00F76A37">
        <w:rPr>
          <w:rFonts w:ascii="Century Schoolbook" w:hAnsi="Century Schoolbook"/>
          <w:sz w:val="27"/>
        </w:rPr>
        <w:t xml:space="preserve"> a broom handle</w:t>
      </w:r>
      <w:r w:rsidRPr="0052255D">
        <w:rPr>
          <w:rFonts w:ascii="Century Schoolbook" w:hAnsi="Century Schoolbook"/>
          <w:sz w:val="27"/>
        </w:rPr>
        <w:t xml:space="preserve">.  Defendant was described as a loving brother, protective family member, </w:t>
      </w:r>
      <w:r w:rsidRPr="0052255D" w:rsidR="00E166CA">
        <w:rPr>
          <w:rFonts w:ascii="Century Schoolbook" w:hAnsi="Century Schoolbook"/>
          <w:sz w:val="27"/>
        </w:rPr>
        <w:t>carin</w:t>
      </w:r>
      <w:r w:rsidRPr="0052255D" w:rsidR="00E166CA">
        <w:rPr>
          <w:rFonts w:ascii="Century Schoolbook" w:hAnsi="Century Schoolbook"/>
          <w:color w:val="auto"/>
          <w:sz w:val="27"/>
        </w:rPr>
        <w:t xml:space="preserve">g, </w:t>
      </w:r>
      <w:r w:rsidRPr="0052255D">
        <w:rPr>
          <w:rFonts w:ascii="Century Schoolbook" w:hAnsi="Century Schoolbook"/>
          <w:color w:val="auto"/>
          <w:sz w:val="27"/>
        </w:rPr>
        <w:t xml:space="preserve">courteous, and respectful. </w:t>
      </w:r>
    </w:p>
    <w:p w:rsidR="008A5603"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 xml:space="preserve">Defendant was the target of ridicule in elementary school because he was bigger than the other children and did not have nice clothes.  He was respectful to his teachers and administrators in elementary and middle school.  </w:t>
      </w:r>
      <w:r w:rsidRPr="0052255D" w:rsidR="00AA178C">
        <w:rPr>
          <w:rFonts w:ascii="Century Schoolbook" w:hAnsi="Century Schoolbook"/>
          <w:color w:val="auto"/>
          <w:sz w:val="27"/>
        </w:rPr>
        <w:t xml:space="preserve">Defendant’s </w:t>
      </w:r>
      <w:r w:rsidRPr="0052255D">
        <w:rPr>
          <w:rFonts w:ascii="Century Schoolbook" w:hAnsi="Century Schoolbook"/>
          <w:sz w:val="27"/>
        </w:rPr>
        <w:t xml:space="preserve">high school football coach described </w:t>
      </w:r>
      <w:r w:rsidRPr="0052255D" w:rsidR="00AA178C">
        <w:rPr>
          <w:rFonts w:ascii="Century Schoolbook" w:hAnsi="Century Schoolbook"/>
          <w:sz w:val="27"/>
        </w:rPr>
        <w:t xml:space="preserve">him </w:t>
      </w:r>
      <w:r w:rsidRPr="0052255D">
        <w:rPr>
          <w:rFonts w:ascii="Century Schoolbook" w:hAnsi="Century Schoolbook"/>
          <w:sz w:val="27"/>
        </w:rPr>
        <w:t xml:space="preserve">as </w:t>
      </w:r>
      <w:r w:rsidRPr="0052255D" w:rsidR="00BC7F5D">
        <w:rPr>
          <w:rFonts w:ascii="Century Schoolbook" w:hAnsi="Century Schoolbook"/>
          <w:sz w:val="27"/>
        </w:rPr>
        <w:t>kind</w:t>
      </w:r>
      <w:r w:rsidRPr="0052255D" w:rsidR="005F6D8A">
        <w:rPr>
          <w:rFonts w:ascii="Century Schoolbook" w:hAnsi="Century Schoolbook"/>
          <w:sz w:val="27"/>
        </w:rPr>
        <w:t>,</w:t>
      </w:r>
      <w:r w:rsidRPr="0052255D" w:rsidR="00BC7F5D">
        <w:rPr>
          <w:rFonts w:ascii="Century Schoolbook" w:hAnsi="Century Schoolbook"/>
          <w:sz w:val="27"/>
        </w:rPr>
        <w:t xml:space="preserve"> polite, and </w:t>
      </w:r>
      <w:r w:rsidRPr="0052255D">
        <w:rPr>
          <w:rFonts w:ascii="Century Schoolbook" w:hAnsi="Century Schoolbook"/>
          <w:sz w:val="27"/>
        </w:rPr>
        <w:t xml:space="preserve">a good kid.  </w:t>
      </w:r>
      <w:r w:rsidRPr="0052255D">
        <w:rPr>
          <w:rFonts w:ascii="Century Schoolbook" w:hAnsi="Century Schoolbook"/>
          <w:color w:val="auto"/>
          <w:sz w:val="27"/>
        </w:rPr>
        <w:t xml:space="preserve">Defendant quit high school in tenth grade and </w:t>
      </w:r>
      <w:r w:rsidRPr="0052255D" w:rsidR="006761D5">
        <w:rPr>
          <w:rFonts w:ascii="Century Schoolbook" w:hAnsi="Century Schoolbook"/>
          <w:color w:val="auto"/>
          <w:sz w:val="27"/>
        </w:rPr>
        <w:t>started working</w:t>
      </w:r>
      <w:r w:rsidRPr="0052255D">
        <w:rPr>
          <w:rFonts w:ascii="Century Schoolbook" w:hAnsi="Century Schoolbook"/>
          <w:color w:val="auto"/>
          <w:sz w:val="27"/>
        </w:rPr>
        <w:t xml:space="preserve"> </w:t>
      </w:r>
      <w:r w:rsidRPr="0052255D">
        <w:rPr>
          <w:rFonts w:ascii="Century Schoolbook" w:hAnsi="Century Schoolbook"/>
          <w:sz w:val="27"/>
        </w:rPr>
        <w:t>in construction to help his family financially</w:t>
      </w:r>
      <w:r w:rsidRPr="0052255D">
        <w:rPr>
          <w:rFonts w:ascii="Century Schoolbook" w:hAnsi="Century Schoolbook"/>
          <w:color w:val="auto"/>
          <w:sz w:val="27"/>
        </w:rPr>
        <w:t xml:space="preserve">.  </w:t>
      </w:r>
      <w:r w:rsidRPr="0052255D">
        <w:rPr>
          <w:rFonts w:ascii="Century Schoolbook" w:hAnsi="Century Schoolbook"/>
          <w:color w:val="auto"/>
          <w:sz w:val="27"/>
          <w:u w:color="FF0000"/>
        </w:rPr>
        <w:t xml:space="preserve">  </w:t>
      </w:r>
    </w:p>
    <w:p w:rsidR="006761D5" w:rsidRPr="0052255D" w:rsidP="0052255D">
      <w:pPr>
        <w:pStyle w:val="Body"/>
        <w:tabs>
          <w:tab w:val="left" w:pos="1440"/>
        </w:tabs>
        <w:spacing w:after="100" w:line="400" w:lineRule="exact"/>
        <w:ind w:firstLine="720"/>
        <w:jc w:val="both"/>
        <w:rPr>
          <w:rFonts w:ascii="Century Schoolbook" w:hAnsi="Century Schoolbook"/>
          <w:color w:val="auto"/>
          <w:sz w:val="27"/>
          <w:u w:color="FF0000"/>
        </w:rPr>
      </w:pPr>
      <w:r w:rsidRPr="0052255D">
        <w:rPr>
          <w:rFonts w:ascii="Century Schoolbook" w:hAnsi="Century Schoolbook"/>
          <w:sz w:val="27"/>
        </w:rPr>
        <w:t xml:space="preserve">In 1992, defendant provided mouth-to-mouth resuscitation to </w:t>
      </w:r>
      <w:r w:rsidRPr="0052255D" w:rsidR="00E151A8">
        <w:rPr>
          <w:rFonts w:ascii="Century Schoolbook" w:hAnsi="Century Schoolbook"/>
          <w:sz w:val="27"/>
        </w:rPr>
        <w:t xml:space="preserve">Monroe when he was shot by </w:t>
      </w:r>
      <w:r w:rsidRPr="0052255D" w:rsidR="00FB4724">
        <w:rPr>
          <w:rFonts w:ascii="Century Schoolbook" w:hAnsi="Century Schoolbook"/>
          <w:sz w:val="27"/>
        </w:rPr>
        <w:t xml:space="preserve">a rival gang </w:t>
      </w:r>
      <w:r w:rsidRPr="0052255D" w:rsidR="00430799">
        <w:rPr>
          <w:rFonts w:ascii="Century Schoolbook" w:hAnsi="Century Schoolbook"/>
          <w:sz w:val="27"/>
        </w:rPr>
        <w:t>member</w:t>
      </w:r>
      <w:r w:rsidRPr="0052255D">
        <w:rPr>
          <w:rFonts w:ascii="Century Schoolbook" w:hAnsi="Century Schoolbook"/>
          <w:sz w:val="27"/>
        </w:rPr>
        <w:t xml:space="preserve">.  </w:t>
      </w:r>
      <w:r w:rsidRPr="0052255D" w:rsidR="00F8689C">
        <w:rPr>
          <w:rFonts w:ascii="Century Schoolbook" w:hAnsi="Century Schoolbook"/>
          <w:color w:val="auto"/>
          <w:sz w:val="27"/>
        </w:rPr>
        <w:t>Defendant</w:t>
      </w:r>
      <w:r w:rsidRPr="0052255D">
        <w:rPr>
          <w:rFonts w:ascii="Century Schoolbook" w:hAnsi="Century Schoolbook"/>
          <w:color w:val="auto"/>
          <w:sz w:val="27"/>
        </w:rPr>
        <w:t xml:space="preserve"> </w:t>
      </w:r>
      <w:r w:rsidRPr="0052255D">
        <w:rPr>
          <w:rFonts w:ascii="Century Schoolbook" w:hAnsi="Century Schoolbook"/>
          <w:sz w:val="27"/>
        </w:rPr>
        <w:t xml:space="preserve">befriended a young woman who </w:t>
      </w:r>
      <w:r w:rsidRPr="0052255D" w:rsidR="00430799">
        <w:rPr>
          <w:rFonts w:ascii="Century Schoolbook" w:hAnsi="Century Schoolbook"/>
          <w:sz w:val="27"/>
        </w:rPr>
        <w:t xml:space="preserve">had </w:t>
      </w:r>
      <w:r w:rsidRPr="0052255D">
        <w:rPr>
          <w:rFonts w:ascii="Century Schoolbook" w:hAnsi="Century Schoolbook"/>
          <w:sz w:val="27"/>
        </w:rPr>
        <w:t xml:space="preserve">felt unsafe </w:t>
      </w:r>
      <w:r w:rsidRPr="0052255D" w:rsidR="00430799">
        <w:rPr>
          <w:rFonts w:ascii="Century Schoolbook" w:hAnsi="Century Schoolbook"/>
          <w:sz w:val="27"/>
        </w:rPr>
        <w:t xml:space="preserve">when she was </w:t>
      </w:r>
      <w:r w:rsidRPr="0052255D">
        <w:rPr>
          <w:rFonts w:ascii="Century Schoolbook" w:hAnsi="Century Schoolbook"/>
          <w:sz w:val="27"/>
        </w:rPr>
        <w:t>walking to school and he became a father figure to her</w:t>
      </w:r>
      <w:r w:rsidRPr="0052255D">
        <w:rPr>
          <w:rFonts w:ascii="Century Schoolbook" w:hAnsi="Century Schoolbook"/>
          <w:color w:val="auto"/>
          <w:sz w:val="27"/>
        </w:rPr>
        <w:t>.</w:t>
      </w:r>
    </w:p>
    <w:p w:rsidR="008A5603"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color w:val="auto"/>
          <w:sz w:val="27"/>
          <w:u w:color="FF0000"/>
        </w:rPr>
        <w:t xml:space="preserve">Defendant denied robbing Kinsey.  He admitted </w:t>
      </w:r>
      <w:r w:rsidR="0000455D">
        <w:rPr>
          <w:rFonts w:ascii="Century Schoolbook" w:hAnsi="Century Schoolbook"/>
          <w:color w:val="auto"/>
          <w:sz w:val="27"/>
          <w:u w:color="FF0000"/>
        </w:rPr>
        <w:t xml:space="preserve">to </w:t>
      </w:r>
      <w:r w:rsidRPr="0052255D">
        <w:rPr>
          <w:rFonts w:ascii="Century Schoolbook" w:hAnsi="Century Schoolbook"/>
          <w:color w:val="auto"/>
          <w:sz w:val="27"/>
          <w:u w:color="FF0000"/>
        </w:rPr>
        <w:t xml:space="preserve">robbing Hagen, but testified that he accepted responsibility when contacted by the police and expressed remorse.  </w:t>
      </w:r>
    </w:p>
    <w:p w:rsidR="008A5603"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 xml:space="preserve">In July 1997, defendant witnessed the murder of his cousin, Loma Mataele.  Defendant </w:t>
      </w:r>
      <w:r w:rsidRPr="0052255D" w:rsidR="00A31F0F">
        <w:rPr>
          <w:rFonts w:ascii="Century Schoolbook" w:hAnsi="Century Schoolbook"/>
          <w:sz w:val="27"/>
        </w:rPr>
        <w:t xml:space="preserve">was very close to Loma and </w:t>
      </w:r>
      <w:r w:rsidRPr="0052255D">
        <w:rPr>
          <w:rFonts w:ascii="Century Schoolbook" w:hAnsi="Century Schoolbook"/>
          <w:sz w:val="27"/>
        </w:rPr>
        <w:t xml:space="preserve">was </w:t>
      </w:r>
      <w:r w:rsidRPr="0052255D" w:rsidR="00E166CA">
        <w:rPr>
          <w:rFonts w:ascii="Century Schoolbook" w:hAnsi="Century Schoolbook"/>
          <w:sz w:val="27"/>
        </w:rPr>
        <w:t xml:space="preserve">heartbroken </w:t>
      </w:r>
      <w:r w:rsidRPr="0052255D">
        <w:rPr>
          <w:rFonts w:ascii="Century Schoolbook" w:hAnsi="Century Schoolbook"/>
          <w:sz w:val="27"/>
        </w:rPr>
        <w:t xml:space="preserve">by </w:t>
      </w:r>
      <w:r w:rsidRPr="0052255D" w:rsidR="00A31F0F">
        <w:rPr>
          <w:rFonts w:ascii="Century Schoolbook" w:hAnsi="Century Schoolbook"/>
          <w:sz w:val="27"/>
        </w:rPr>
        <w:t xml:space="preserve">her </w:t>
      </w:r>
      <w:r w:rsidRPr="0052255D">
        <w:rPr>
          <w:rFonts w:ascii="Century Schoolbook" w:hAnsi="Century Schoolbook"/>
          <w:sz w:val="27"/>
        </w:rPr>
        <w:t xml:space="preserve">death.  </w:t>
      </w:r>
      <w:r w:rsidRPr="0052255D">
        <w:rPr>
          <w:rFonts w:ascii="Century Schoolbook" w:hAnsi="Century Schoolbook"/>
          <w:color w:val="auto"/>
          <w:sz w:val="27"/>
          <w:u w:color="FF0000"/>
        </w:rPr>
        <w:t xml:space="preserve">He testified that Loma’s death “really messed [him] up in the head.”  </w:t>
      </w:r>
    </w:p>
    <w:p w:rsidR="000C04D2" w:rsidRPr="008876BA"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Following the shooting of Johnson and Masubayashi, defendant set up weekly family meetings to encourage family members to better themselves and help each other</w:t>
      </w:r>
      <w:r w:rsidRPr="0052255D">
        <w:rPr>
          <w:rFonts w:ascii="Century Schoolbook" w:hAnsi="Century Schoolbook"/>
          <w:color w:val="auto"/>
          <w:sz w:val="27"/>
        </w:rPr>
        <w:t xml:space="preserve">.  </w:t>
      </w:r>
      <w:r w:rsidRPr="0052255D">
        <w:rPr>
          <w:rFonts w:ascii="Century Schoolbook" w:hAnsi="Century Schoolbook"/>
          <w:sz w:val="27"/>
        </w:rPr>
        <w:t xml:space="preserve">Defendant recognized that he had made mistakes in his </w:t>
      </w:r>
      <w:r w:rsidRPr="0052255D" w:rsidR="00E366D0">
        <w:rPr>
          <w:rFonts w:ascii="Century Schoolbook" w:hAnsi="Century Schoolbook"/>
          <w:sz w:val="27"/>
        </w:rPr>
        <w:t xml:space="preserve">own </w:t>
      </w:r>
      <w:r w:rsidRPr="0052255D">
        <w:rPr>
          <w:rFonts w:ascii="Century Schoolbook" w:hAnsi="Century Schoolbook"/>
          <w:sz w:val="27"/>
        </w:rPr>
        <w:t>life</w:t>
      </w:r>
      <w:r w:rsidRPr="0052255D">
        <w:rPr>
          <w:rFonts w:ascii="Century Schoolbook" w:hAnsi="Century Schoolbook"/>
          <w:color w:val="auto"/>
          <w:sz w:val="27"/>
        </w:rPr>
        <w:t xml:space="preserve">. </w:t>
      </w:r>
    </w:p>
    <w:p w:rsidR="00ED3DDE"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 xml:space="preserve">Several experts testified regarding </w:t>
      </w:r>
      <w:r w:rsidRPr="0052255D" w:rsidR="008577F8">
        <w:rPr>
          <w:rFonts w:ascii="Century Schoolbook" w:hAnsi="Century Schoolbook"/>
          <w:sz w:val="27"/>
        </w:rPr>
        <w:t xml:space="preserve">defendant’s </w:t>
      </w:r>
      <w:r w:rsidRPr="0052255D">
        <w:rPr>
          <w:rFonts w:ascii="Century Schoolbook" w:hAnsi="Century Schoolbook"/>
          <w:sz w:val="27"/>
        </w:rPr>
        <w:t xml:space="preserve">brain function and </w:t>
      </w:r>
      <w:r w:rsidRPr="0052255D" w:rsidR="008577F8">
        <w:rPr>
          <w:rFonts w:ascii="Century Schoolbook" w:hAnsi="Century Schoolbook"/>
          <w:sz w:val="27"/>
        </w:rPr>
        <w:t>abilit</w:t>
      </w:r>
      <w:r w:rsidRPr="0052255D">
        <w:rPr>
          <w:rFonts w:ascii="Century Schoolbook" w:hAnsi="Century Schoolbook"/>
          <w:sz w:val="27"/>
        </w:rPr>
        <w:t>y to benefit from life in prison.  Dr. Kenneth Nudleman</w:t>
      </w:r>
      <w:r w:rsidRPr="0052255D" w:rsidR="002B4A1B">
        <w:rPr>
          <w:rFonts w:ascii="Century Schoolbook" w:hAnsi="Century Schoolbook"/>
          <w:sz w:val="27"/>
        </w:rPr>
        <w:t xml:space="preserve"> </w:t>
      </w:r>
      <w:r w:rsidRPr="0052255D">
        <w:rPr>
          <w:rFonts w:ascii="Century Schoolbook" w:hAnsi="Century Schoolbook"/>
          <w:sz w:val="27"/>
        </w:rPr>
        <w:t xml:space="preserve">testified that </w:t>
      </w:r>
      <w:r w:rsidRPr="0052255D" w:rsidR="008577F8">
        <w:rPr>
          <w:rFonts w:ascii="Century Schoolbook" w:hAnsi="Century Schoolbook"/>
          <w:sz w:val="27"/>
        </w:rPr>
        <w:t xml:space="preserve">defendant’s </w:t>
      </w:r>
      <w:r w:rsidRPr="0052255D">
        <w:rPr>
          <w:rFonts w:ascii="Century Schoolbook" w:hAnsi="Century Schoolbook"/>
          <w:sz w:val="27"/>
        </w:rPr>
        <w:t>neurological test results were generally in the normal range, and there were no structural changes to the brain associated with violent behavior.  Clinical psychologist and neuropsychologist Dr.</w:t>
      </w:r>
      <w:r w:rsidRPr="0052255D" w:rsidR="00BE6870">
        <w:rPr>
          <w:rFonts w:ascii="Century Schoolbook" w:hAnsi="Century Schoolbook"/>
          <w:sz w:val="27"/>
        </w:rPr>
        <w:t> </w:t>
      </w:r>
      <w:r w:rsidRPr="0052255D">
        <w:rPr>
          <w:rFonts w:ascii="Century Schoolbook" w:hAnsi="Century Schoolbook"/>
          <w:sz w:val="27"/>
        </w:rPr>
        <w:t>Timothy Collister testified that defendant performed well in the neurological tests he administered, was very intelligent, and gave straightforward and honest answers.  Collister opined that defendant could benefit from education and rehabilitation</w:t>
      </w:r>
      <w:r w:rsidRPr="0052255D">
        <w:rPr>
          <w:rFonts w:ascii="Century Schoolbook" w:hAnsi="Century Schoolbook"/>
          <w:color w:val="auto"/>
          <w:sz w:val="27"/>
        </w:rPr>
        <w:t xml:space="preserve">.  </w:t>
      </w:r>
    </w:p>
    <w:p w:rsidR="008A5603" w:rsidRPr="0052255D" w:rsidP="0052255D">
      <w:pPr>
        <w:pStyle w:val="Body"/>
        <w:tabs>
          <w:tab w:val="left" w:pos="1440"/>
        </w:tabs>
        <w:spacing w:after="100" w:line="400" w:lineRule="exact"/>
        <w:ind w:firstLine="720"/>
        <w:jc w:val="both"/>
        <w:rPr>
          <w:rFonts w:ascii="Century Schoolbook" w:hAnsi="Century Schoolbook"/>
          <w:color w:val="000000" w:themeColor="text1"/>
          <w:sz w:val="27"/>
          <w:u w:color="FF0000"/>
        </w:rPr>
      </w:pPr>
      <w:r w:rsidRPr="0052255D">
        <w:rPr>
          <w:rFonts w:ascii="Century Schoolbook" w:hAnsi="Century Schoolbook"/>
          <w:sz w:val="27"/>
        </w:rPr>
        <w:t xml:space="preserve">Dr. Nancy Kaser-Boyd opined that defendant </w:t>
      </w:r>
      <w:r w:rsidRPr="0052255D" w:rsidR="00D3401B">
        <w:rPr>
          <w:rFonts w:ascii="Century Schoolbook" w:hAnsi="Century Schoolbook"/>
          <w:sz w:val="27"/>
        </w:rPr>
        <w:t xml:space="preserve">suffered from </w:t>
      </w:r>
      <w:r w:rsidRPr="0052255D">
        <w:rPr>
          <w:rFonts w:ascii="Century Schoolbook" w:hAnsi="Century Schoolbook"/>
          <w:sz w:val="27"/>
        </w:rPr>
        <w:t xml:space="preserve">attention deficit hyperactivity disorder and posttraumatic stress disorder, but his above average intelligence, normal brain function, and relationships would mitigate some of the risk factors in </w:t>
      </w:r>
      <w:r w:rsidRPr="0052255D" w:rsidR="002C7956">
        <w:rPr>
          <w:rFonts w:ascii="Century Schoolbook" w:hAnsi="Century Schoolbook"/>
          <w:sz w:val="27"/>
        </w:rPr>
        <w:t xml:space="preserve">defendant’s </w:t>
      </w:r>
      <w:r w:rsidRPr="0052255D">
        <w:rPr>
          <w:rFonts w:ascii="Century Schoolbook" w:hAnsi="Century Schoolbook"/>
          <w:sz w:val="27"/>
        </w:rPr>
        <w:t>life</w:t>
      </w:r>
      <w:r w:rsidRPr="0052255D" w:rsidR="00DB104A">
        <w:rPr>
          <w:rFonts w:ascii="Century Schoolbook" w:hAnsi="Century Schoolbook"/>
          <w:sz w:val="27"/>
        </w:rPr>
        <w:t>, including child abuse, domestic violence, racism, and poverty</w:t>
      </w:r>
      <w:r w:rsidRPr="0052255D">
        <w:rPr>
          <w:rFonts w:ascii="Century Schoolbook" w:hAnsi="Century Schoolbook"/>
          <w:color w:val="auto"/>
          <w:sz w:val="27"/>
        </w:rPr>
        <w:t>.  Psychopharmacologist Dr.</w:t>
      </w:r>
      <w:r w:rsidR="000C04D2">
        <w:rPr>
          <w:rFonts w:ascii="Century Schoolbook" w:hAnsi="Century Schoolbook"/>
          <w:color w:val="auto"/>
          <w:sz w:val="27"/>
        </w:rPr>
        <w:t> </w:t>
      </w:r>
      <w:r w:rsidRPr="0052255D">
        <w:rPr>
          <w:rFonts w:ascii="Century Schoolbook" w:hAnsi="Century Schoolbook"/>
          <w:color w:val="auto"/>
          <w:sz w:val="27"/>
        </w:rPr>
        <w:t xml:space="preserve">Ronald Siegel testified regarding the </w:t>
      </w:r>
      <w:r w:rsidRPr="0052255D" w:rsidR="002B750C">
        <w:rPr>
          <w:rFonts w:ascii="Century Schoolbook" w:hAnsi="Century Schoolbook"/>
          <w:color w:val="auto"/>
          <w:sz w:val="27"/>
        </w:rPr>
        <w:t xml:space="preserve">effects </w:t>
      </w:r>
      <w:r w:rsidRPr="0052255D">
        <w:rPr>
          <w:rFonts w:ascii="Century Schoolbook" w:hAnsi="Century Schoolbook"/>
          <w:sz w:val="27"/>
        </w:rPr>
        <w:t xml:space="preserve">of methamphetamine, including paranoia, irritability, impulsivity, psychosis, and delusions resulting from sustained </w:t>
      </w:r>
      <w:r w:rsidRPr="0052255D">
        <w:rPr>
          <w:rFonts w:ascii="Century Schoolbook" w:hAnsi="Century Schoolbook"/>
          <w:color w:val="auto"/>
          <w:sz w:val="27"/>
        </w:rPr>
        <w:t xml:space="preserve">use.  </w:t>
      </w:r>
    </w:p>
    <w:p w:rsidR="008E026B" w:rsidRPr="0052255D" w:rsidP="0052255D">
      <w:pPr>
        <w:tabs>
          <w:tab w:val="left" w:pos="1440"/>
        </w:tabs>
        <w:ind w:firstLine="720"/>
      </w:pPr>
      <w:r w:rsidRPr="0052255D">
        <w:t>James Esten, a retired employee from the Department of Corrections and Rehabilitation, testified as a correctional consultant.  Based on his review of defendan</w:t>
      </w:r>
      <w:r w:rsidRPr="0052255D" w:rsidR="007C408D">
        <w:t>t’</w:t>
      </w:r>
      <w:r w:rsidRPr="0052255D">
        <w:t>s custodial history and</w:t>
      </w:r>
      <w:r w:rsidRPr="0052255D" w:rsidR="009376C3">
        <w:t xml:space="preserve"> an</w:t>
      </w:r>
      <w:r w:rsidRPr="0052255D">
        <w:t xml:space="preserve"> interview with defendant, Esten opined that defendant was </w:t>
      </w:r>
      <w:r w:rsidRPr="0052255D" w:rsidR="004A679A">
        <w:t xml:space="preserve">suitable </w:t>
      </w:r>
      <w:r w:rsidRPr="0052255D" w:rsidR="008C4CDB">
        <w:t xml:space="preserve">for </w:t>
      </w:r>
      <w:r w:rsidRPr="0052255D" w:rsidR="004A679A">
        <w:t xml:space="preserve">and </w:t>
      </w:r>
      <w:r w:rsidRPr="0052255D">
        <w:t>adaptable to prison life</w:t>
      </w:r>
      <w:r w:rsidRPr="0052255D" w:rsidR="008C4CDB">
        <w:t>,</w:t>
      </w:r>
      <w:r w:rsidRPr="0052255D">
        <w:t xml:space="preserve"> and was a good candidate to lead a productive and nonviolent life in prison.  </w:t>
      </w:r>
    </w:p>
    <w:p w:rsidR="00EF170E" w:rsidRPr="0052255D" w:rsidP="0052255D">
      <w:pPr>
        <w:pStyle w:val="Heading1"/>
      </w:pPr>
      <w:bookmarkStart w:id="8" w:name="_Toc94515328"/>
      <w:r w:rsidRPr="0052255D">
        <w:t xml:space="preserve">II.  </w:t>
      </w:r>
      <w:r w:rsidRPr="0052255D">
        <w:t>Discussion</w:t>
      </w:r>
      <w:bookmarkEnd w:id="8"/>
    </w:p>
    <w:p w:rsidR="00872064" w:rsidRPr="0052255D" w:rsidP="0052255D">
      <w:pPr>
        <w:pStyle w:val="Heading2"/>
      </w:pPr>
      <w:bookmarkStart w:id="9" w:name="_Toc94515329"/>
      <w:r w:rsidRPr="0052255D">
        <w:t xml:space="preserve">A.  </w:t>
      </w:r>
      <w:r w:rsidRPr="0052255D" w:rsidR="007344CF">
        <w:t>Guilt Phase</w:t>
      </w:r>
      <w:r w:rsidRPr="0052255D" w:rsidR="00315311">
        <w:t xml:space="preserve"> </w:t>
      </w:r>
      <w:r w:rsidRPr="0052255D" w:rsidR="007344CF">
        <w:t>Issues</w:t>
      </w:r>
      <w:bookmarkEnd w:id="9"/>
    </w:p>
    <w:p w:rsidR="0016481B" w:rsidRPr="0052255D" w:rsidP="00202F2E">
      <w:pPr>
        <w:pStyle w:val="Heading3"/>
      </w:pPr>
      <w:bookmarkStart w:id="10" w:name="_Toc94515330"/>
      <w:r w:rsidRPr="0052255D">
        <w:t>1</w:t>
      </w:r>
      <w:r w:rsidRPr="0052255D" w:rsidR="00925999">
        <w:t xml:space="preserve">.  </w:t>
      </w:r>
      <w:r w:rsidRPr="0052255D" w:rsidR="0084756F">
        <w:t xml:space="preserve">Excusal of </w:t>
      </w:r>
      <w:r w:rsidRPr="0052255D">
        <w:t>t</w:t>
      </w:r>
      <w:r w:rsidRPr="0052255D" w:rsidR="00FF6BC3">
        <w:t xml:space="preserve">wo </w:t>
      </w:r>
      <w:r w:rsidRPr="0052255D" w:rsidR="00BE4F76">
        <w:t>p</w:t>
      </w:r>
      <w:r w:rsidRPr="0052255D" w:rsidR="0084756F">
        <w:t xml:space="preserve">rospective </w:t>
      </w:r>
      <w:r w:rsidRPr="0052255D" w:rsidR="00BE4F76">
        <w:t>j</w:t>
      </w:r>
      <w:r w:rsidRPr="0052255D" w:rsidR="0084756F">
        <w:t>uror</w:t>
      </w:r>
      <w:r w:rsidRPr="0052255D" w:rsidR="00585416">
        <w:t>s</w:t>
      </w:r>
      <w:r w:rsidRPr="0052255D" w:rsidR="0084756F">
        <w:t xml:space="preserve"> </w:t>
      </w:r>
      <w:r w:rsidRPr="0052255D" w:rsidR="00FF6BC3">
        <w:t xml:space="preserve">for </w:t>
      </w:r>
      <w:r w:rsidRPr="0052255D" w:rsidR="00BE4F76">
        <w:t>c</w:t>
      </w:r>
      <w:r w:rsidRPr="0052255D" w:rsidR="00FF6BC3">
        <w:t>ause</w:t>
      </w:r>
      <w:r w:rsidRPr="0052255D" w:rsidR="00760A74">
        <w:t xml:space="preserve"> </w:t>
      </w:r>
      <w:bookmarkEnd w:id="10"/>
    </w:p>
    <w:p w:rsidR="00075ECC" w:rsidRPr="0052255D" w:rsidP="0052255D">
      <w:pPr>
        <w:tabs>
          <w:tab w:val="left" w:pos="1440"/>
        </w:tabs>
        <w:ind w:firstLine="720"/>
      </w:pPr>
      <w:r w:rsidRPr="0052255D">
        <w:t xml:space="preserve">Defendant </w:t>
      </w:r>
      <w:r w:rsidRPr="0052255D" w:rsidR="00CF42C8">
        <w:t>contend</w:t>
      </w:r>
      <w:r w:rsidRPr="0052255D">
        <w:t xml:space="preserve">s the trial court </w:t>
      </w:r>
      <w:r w:rsidRPr="0052255D" w:rsidR="00CF42C8">
        <w:t xml:space="preserve">erroneously </w:t>
      </w:r>
      <w:r w:rsidRPr="0052255D">
        <w:t>excluded two prospective jurors based on their death penalty views</w:t>
      </w:r>
      <w:r w:rsidRPr="0052255D" w:rsidR="00BA6F0C">
        <w:t xml:space="preserve"> </w:t>
      </w:r>
      <w:r w:rsidRPr="0052255D" w:rsidR="0044228B">
        <w:t xml:space="preserve">in violation of the constitutional standards set forth in </w:t>
      </w:r>
      <w:r w:rsidRPr="0052255D" w:rsidR="0044228B">
        <w:rPr>
          <w:i/>
          <w:iCs/>
        </w:rPr>
        <w:t>Witherspoon v. Illinois</w:t>
      </w:r>
      <w:r w:rsidRPr="0052255D" w:rsidR="0044228B">
        <w:t xml:space="preserve"> (1968) 391 U.S. 510 and </w:t>
      </w:r>
      <w:r w:rsidRPr="0052255D" w:rsidR="0044228B">
        <w:rPr>
          <w:i/>
          <w:iCs/>
        </w:rPr>
        <w:t>Wainwright v. Witt</w:t>
      </w:r>
      <w:r w:rsidRPr="0052255D" w:rsidR="0044228B">
        <w:t xml:space="preserve"> (1985) 469 U.S. 412 (</w:t>
      </w:r>
      <w:r w:rsidRPr="0052255D" w:rsidR="0044228B">
        <w:rPr>
          <w:i/>
          <w:iCs/>
        </w:rPr>
        <w:t>Witt</w:t>
      </w:r>
      <w:r w:rsidRPr="0052255D" w:rsidR="0044228B">
        <w:t>).</w:t>
      </w:r>
      <w:r w:rsidRPr="0052255D">
        <w:t xml:space="preserve">  </w:t>
      </w:r>
      <w:r w:rsidRPr="0052255D" w:rsidR="008C4CDB">
        <w:rPr>
          <w:szCs w:val="26"/>
        </w:rPr>
        <w:t>We</w:t>
      </w:r>
      <w:r w:rsidRPr="0052255D" w:rsidR="00DB712E">
        <w:rPr>
          <w:szCs w:val="26"/>
        </w:rPr>
        <w:t xml:space="preserve"> conclude</w:t>
      </w:r>
      <w:r w:rsidRPr="0052255D" w:rsidR="008C4CDB">
        <w:rPr>
          <w:szCs w:val="26"/>
        </w:rPr>
        <w:t xml:space="preserve"> that</w:t>
      </w:r>
      <w:r w:rsidRPr="0052255D" w:rsidR="00DB712E">
        <w:rPr>
          <w:szCs w:val="26"/>
        </w:rPr>
        <w:t xml:space="preserve"> the record fairly supports the excusals and </w:t>
      </w:r>
      <w:r w:rsidRPr="0052255D" w:rsidR="008F4453">
        <w:rPr>
          <w:szCs w:val="26"/>
        </w:rPr>
        <w:t xml:space="preserve">therefore </w:t>
      </w:r>
      <w:r w:rsidRPr="0052255D" w:rsidR="00DB712E">
        <w:rPr>
          <w:szCs w:val="26"/>
        </w:rPr>
        <w:t xml:space="preserve">uphold the trial court’s rulings.  </w:t>
      </w:r>
    </w:p>
    <w:p w:rsidR="00D974CA" w:rsidRPr="0052255D" w:rsidP="0052255D">
      <w:pPr>
        <w:pStyle w:val="Heading4"/>
      </w:pPr>
      <w:bookmarkStart w:id="11" w:name="_Toc94515331"/>
      <w:r w:rsidRPr="0052255D">
        <w:t xml:space="preserve">a.  </w:t>
      </w:r>
      <w:r w:rsidRPr="0052255D">
        <w:t xml:space="preserve">Legal </w:t>
      </w:r>
      <w:r w:rsidRPr="0052255D" w:rsidR="002C7956">
        <w:t>p</w:t>
      </w:r>
      <w:r w:rsidRPr="0052255D">
        <w:t>rinciples</w:t>
      </w:r>
      <w:bookmarkEnd w:id="11"/>
    </w:p>
    <w:p w:rsidR="00D974CA" w:rsidRPr="0052255D" w:rsidP="0052255D">
      <w:pPr>
        <w:tabs>
          <w:tab w:val="left" w:pos="1440"/>
        </w:tabs>
        <w:ind w:firstLine="720"/>
      </w:pPr>
      <w:r w:rsidRPr="0052255D">
        <w:t>“Under state and federal constitutional principles, a criminal defendant has the right to be tried by an impartial jury.  (Cal. Const., art. I, §</w:t>
      </w:r>
      <w:r w:rsidRPr="0052255D" w:rsidR="00671473">
        <w:t> </w:t>
      </w:r>
      <w:r w:rsidRPr="0052255D">
        <w:t>16; U.S. Const., 6th &amp; 14th Amends.)  With regard to jury selection in a capital case, decisions by this court and the United States Supreme Court have made clear that prospective jurors’ personal opposition to the death penalty is not a sufficient basis on which to remove them from jury service in a capital case, ‘</w:t>
      </w:r>
      <w:r w:rsidRPr="0052255D" w:rsidR="00671473">
        <w:t> </w:t>
      </w:r>
      <w:r w:rsidRPr="0052255D">
        <w:t>“so long as they clearly state that they are willing to temporarily set aside their own beliefs in deference to the rule of law.”</w:t>
      </w:r>
      <w:r w:rsidRPr="0052255D" w:rsidR="00671473">
        <w:t> </w:t>
      </w:r>
      <w:r w:rsidRPr="0052255D">
        <w:t>’</w:t>
      </w:r>
      <w:r w:rsidRPr="0052255D" w:rsidR="00671473">
        <w:t> </w:t>
      </w:r>
      <w:r w:rsidRPr="0052255D">
        <w:t>”</w:t>
      </w:r>
      <w:r w:rsidRPr="0052255D" w:rsidR="00BC6F7B">
        <w:t xml:space="preserve"> </w:t>
      </w:r>
      <w:r w:rsidRPr="0052255D">
        <w:t xml:space="preserve"> (</w:t>
      </w:r>
      <w:r w:rsidRPr="0052255D">
        <w:rPr>
          <w:rStyle w:val="Emphasis"/>
        </w:rPr>
        <w:t>People v. Schultz</w:t>
      </w:r>
      <w:r w:rsidRPr="0052255D">
        <w:t xml:space="preserve"> (2020) 10 Cal.5th 623, 646</w:t>
      </w:r>
      <w:r w:rsidRPr="0052255D" w:rsidR="005223B3">
        <w:t xml:space="preserve"> (</w:t>
      </w:r>
      <w:r w:rsidRPr="0052255D" w:rsidR="005223B3">
        <w:rPr>
          <w:i/>
          <w:iCs/>
        </w:rPr>
        <w:t>Schultz</w:t>
      </w:r>
      <w:r w:rsidRPr="0052255D" w:rsidR="005223B3">
        <w:t>)</w:t>
      </w:r>
      <w:r w:rsidRPr="0052255D">
        <w:t>.)</w:t>
      </w:r>
    </w:p>
    <w:p w:rsidR="00F26AD7" w:rsidRPr="0052255D" w:rsidP="0052255D">
      <w:pPr>
        <w:tabs>
          <w:tab w:val="left" w:pos="1440"/>
        </w:tabs>
        <w:ind w:firstLine="720"/>
        <w:rPr>
          <w:color w:val="000000" w:themeColor="text1"/>
        </w:rPr>
      </w:pPr>
      <w:r w:rsidRPr="0052255D">
        <w:t>“</w:t>
      </w:r>
      <w:r w:rsidRPr="0052255D" w:rsidR="009B5E40">
        <w:t>E</w:t>
      </w:r>
      <w:r w:rsidRPr="0052255D">
        <w:t>xcusal for cause is permissible</w:t>
      </w:r>
      <w:r w:rsidRPr="0052255D" w:rsidR="009B5E40">
        <w:t>, however,</w:t>
      </w:r>
      <w:r w:rsidRPr="0052255D">
        <w:t xml:space="preserve"> when the prospective juror’s beliefs regarding the death penalty </w:t>
      </w:r>
      <w:r w:rsidRPr="0052255D" w:rsidR="002B2FDF">
        <w:t>‘</w:t>
      </w:r>
      <w:r w:rsidRPr="0052255D">
        <w:t xml:space="preserve">would </w:t>
      </w:r>
      <w:r w:rsidRPr="0052255D" w:rsidR="002B2FDF">
        <w:t>“</w:t>
      </w:r>
      <w:r w:rsidRPr="0052255D">
        <w:t>prevent or substantially impair the performance of his [or her] duties as a juror in accordance with [the court’s] instructions and [the juror’s] oath.”</w:t>
      </w:r>
      <w:r w:rsidRPr="0052255D" w:rsidR="002B2FDF">
        <w:t> ’</w:t>
      </w:r>
      <w:r w:rsidRPr="0052255D" w:rsidR="00ED1B34">
        <w:t> ”</w:t>
      </w:r>
      <w:r w:rsidRPr="0052255D">
        <w:t xml:space="preserve">  </w:t>
      </w:r>
      <w:r w:rsidRPr="0052255D" w:rsidR="00ED1B34">
        <w:t>(</w:t>
      </w:r>
      <w:r w:rsidRPr="0052255D" w:rsidR="00ED1B34">
        <w:rPr>
          <w:i/>
          <w:iCs/>
        </w:rPr>
        <w:t>Schultz</w:t>
      </w:r>
      <w:r w:rsidRPr="0052255D" w:rsidR="00ED1B34">
        <w:t xml:space="preserve">, </w:t>
      </w:r>
      <w:r w:rsidRPr="0052255D" w:rsidR="00ED1B34">
        <w:rPr>
          <w:i/>
          <w:iCs/>
        </w:rPr>
        <w:t>supra</w:t>
      </w:r>
      <w:r w:rsidRPr="0052255D" w:rsidR="00ED1B34">
        <w:t>, 10 Cal.5th at p.</w:t>
      </w:r>
      <w:r w:rsidR="00B4645D">
        <w:t> </w:t>
      </w:r>
      <w:r w:rsidRPr="0052255D" w:rsidR="00ED1B34">
        <w:t>647</w:t>
      </w:r>
      <w:r w:rsidRPr="0052255D" w:rsidR="002815DF">
        <w:t xml:space="preserve">, quoting </w:t>
      </w:r>
      <w:r w:rsidRPr="0052255D" w:rsidR="002815DF">
        <w:rPr>
          <w:i/>
          <w:iCs/>
        </w:rPr>
        <w:t>Witt</w:t>
      </w:r>
      <w:r w:rsidRPr="0052255D" w:rsidR="002815DF">
        <w:t xml:space="preserve">, </w:t>
      </w:r>
      <w:r w:rsidRPr="0052255D" w:rsidR="002815DF">
        <w:rPr>
          <w:i/>
          <w:iCs/>
        </w:rPr>
        <w:t>supra</w:t>
      </w:r>
      <w:r w:rsidRPr="0052255D" w:rsidR="002815DF">
        <w:t>, 469 U.S. at p. 424</w:t>
      </w:r>
      <w:r w:rsidRPr="0052255D" w:rsidR="00ED1B34">
        <w:t xml:space="preserve">.) </w:t>
      </w:r>
      <w:r w:rsidRPr="0052255D" w:rsidR="00E907DD">
        <w:t xml:space="preserve"> </w:t>
      </w:r>
      <w:r w:rsidRPr="0052255D" w:rsidR="0003588C">
        <w:t xml:space="preserve">Although </w:t>
      </w:r>
      <w:r w:rsidRPr="0052255D" w:rsidR="000F7326">
        <w:t>“</w:t>
      </w:r>
      <w:r w:rsidRPr="0052255D">
        <w:t xml:space="preserve">a prospective juror may not be excused for cause based on </w:t>
      </w:r>
      <w:r w:rsidRPr="0052255D" w:rsidR="000F7326">
        <w:t>‘</w:t>
      </w:r>
      <w:r w:rsidRPr="0052255D">
        <w:t>general objections</w:t>
      </w:r>
      <w:r w:rsidRPr="0052255D" w:rsidR="000F7326">
        <w:t>’</w:t>
      </w:r>
      <w:r w:rsidRPr="0052255D" w:rsidR="002B2FDF">
        <w:t xml:space="preserve"> </w:t>
      </w:r>
      <w:r w:rsidRPr="0052255D">
        <w:t xml:space="preserve">or </w:t>
      </w:r>
      <w:r w:rsidRPr="0052255D" w:rsidR="000F7326">
        <w:t>‘</w:t>
      </w:r>
      <w:r w:rsidRPr="0052255D">
        <w:t>conscientious or religious scruples</w:t>
      </w:r>
      <w:r w:rsidRPr="0052255D" w:rsidR="000F7326">
        <w:t>’</w:t>
      </w:r>
      <w:r w:rsidRPr="0052255D">
        <w:t xml:space="preserve"> against the death penalty [citation], excusal is proper when a prospective juror cannot </w:t>
      </w:r>
      <w:r w:rsidRPr="0052255D" w:rsidR="000F7326">
        <w:t>‘</w:t>
      </w:r>
      <w:r w:rsidRPr="0052255D">
        <w:t>consider and decide the facts impartially and conscientiously apply the law as charged by the court</w:t>
      </w:r>
      <w:r w:rsidRPr="0052255D" w:rsidR="000F7326">
        <w:t>’</w:t>
      </w:r>
      <w:r w:rsidRPr="0052255D">
        <w:t xml:space="preserve"> [</w:t>
      </w:r>
      <w:r w:rsidRPr="0052255D" w:rsidR="00D319A1">
        <w:t>c</w:t>
      </w:r>
      <w:r w:rsidRPr="0052255D">
        <w:t xml:space="preserve">itation].” </w:t>
      </w:r>
      <w:r w:rsidRPr="0052255D" w:rsidR="001E2BFA">
        <w:t xml:space="preserve"> (</w:t>
      </w:r>
      <w:r w:rsidRPr="0052255D" w:rsidR="001E2BFA">
        <w:rPr>
          <w:i/>
          <w:iCs/>
        </w:rPr>
        <w:t>Schultz</w:t>
      </w:r>
      <w:r w:rsidRPr="0052255D" w:rsidR="00BA0B1D">
        <w:t>, at p.</w:t>
      </w:r>
      <w:r w:rsidR="00B4645D">
        <w:t> </w:t>
      </w:r>
      <w:r w:rsidRPr="0052255D" w:rsidR="00BA0B1D">
        <w:t>649.)</w:t>
      </w:r>
      <w:r w:rsidRPr="0052255D" w:rsidR="000549A4">
        <w:t xml:space="preserve">  </w:t>
      </w:r>
      <w:r w:rsidRPr="0052255D" w:rsidR="00924E0A">
        <w:rPr>
          <w:szCs w:val="26"/>
          <w:shd w:val="clear" w:color="auto" w:fill="FFFFFF"/>
        </w:rPr>
        <w:t xml:space="preserve">This rule </w:t>
      </w:r>
      <w:r w:rsidRPr="0052255D" w:rsidR="00136F76">
        <w:rPr>
          <w:szCs w:val="26"/>
          <w:shd w:val="clear" w:color="auto" w:fill="FFFFFF"/>
        </w:rPr>
        <w:t>balances the interest of a criminal defendant, who</w:t>
      </w:r>
      <w:r w:rsidRPr="0052255D" w:rsidR="00924E0A">
        <w:rPr>
          <w:szCs w:val="26"/>
          <w:shd w:val="clear" w:color="auto" w:fill="FFFFFF"/>
        </w:rPr>
        <w:t xml:space="preserve"> </w:t>
      </w:r>
      <w:r w:rsidRPr="0052255D" w:rsidR="00902515">
        <w:rPr>
          <w:szCs w:val="26"/>
          <w:shd w:val="clear" w:color="auto" w:fill="FFFFFF"/>
        </w:rPr>
        <w:t>“</w:t>
      </w:r>
      <w:r w:rsidRPr="0052255D" w:rsidR="00924E0A">
        <w:rPr>
          <w:szCs w:val="26"/>
          <w:shd w:val="clear" w:color="auto" w:fill="FFFFFF"/>
        </w:rPr>
        <w:t xml:space="preserve">has a right to an impartial jury drawn from a venire that has not been tilted in favor of capital punishment by selective prosecutorial challenges for cause,” and </w:t>
      </w:r>
      <w:r w:rsidRPr="0052255D" w:rsidR="00136F76">
        <w:rPr>
          <w:szCs w:val="26"/>
          <w:shd w:val="clear" w:color="auto" w:fill="FFFFFF"/>
        </w:rPr>
        <w:t xml:space="preserve">the state’s </w:t>
      </w:r>
      <w:r w:rsidRPr="0052255D" w:rsidR="008661F9">
        <w:rPr>
          <w:szCs w:val="26"/>
          <w:shd w:val="clear" w:color="auto" w:fill="FFFFFF"/>
        </w:rPr>
        <w:t>“</w:t>
      </w:r>
      <w:r w:rsidRPr="0052255D" w:rsidR="00924E0A">
        <w:rPr>
          <w:szCs w:val="26"/>
          <w:shd w:val="clear" w:color="auto" w:fill="FFFFFF"/>
        </w:rPr>
        <w:t>strong interest in having jurors who are able to apply capital punishment within the framework state law prescribes.”  (</w:t>
      </w:r>
      <w:r w:rsidRPr="0052255D" w:rsidR="00924E0A">
        <w:rPr>
          <w:i/>
          <w:iCs/>
          <w:szCs w:val="26"/>
          <w:shd w:val="clear" w:color="auto" w:fill="FFFFFF"/>
        </w:rPr>
        <w:t>Uttecht v. Brown</w:t>
      </w:r>
      <w:r w:rsidRPr="0052255D" w:rsidR="00924E0A">
        <w:rPr>
          <w:szCs w:val="26"/>
          <w:shd w:val="clear" w:color="auto" w:fill="FFFFFF"/>
        </w:rPr>
        <w:t xml:space="preserve"> (2007) 551 U.S. 1, 9 (</w:t>
      </w:r>
      <w:r w:rsidRPr="0052255D" w:rsidR="00924E0A">
        <w:rPr>
          <w:i/>
          <w:iCs/>
          <w:szCs w:val="26"/>
          <w:shd w:val="clear" w:color="auto" w:fill="FFFFFF"/>
        </w:rPr>
        <w:t>Uttecht</w:t>
      </w:r>
      <w:r w:rsidRPr="0052255D" w:rsidR="00924E0A">
        <w:rPr>
          <w:szCs w:val="26"/>
          <w:shd w:val="clear" w:color="auto" w:fill="FFFFFF"/>
        </w:rPr>
        <w:t xml:space="preserve">).) </w:t>
      </w:r>
      <w:r w:rsidRPr="0052255D" w:rsidR="00924E0A">
        <w:rPr>
          <w:color w:val="000000" w:themeColor="text1"/>
          <w:szCs w:val="26"/>
          <w:shd w:val="clear" w:color="auto" w:fill="FFFFFF"/>
        </w:rPr>
        <w:t xml:space="preserve"> </w:t>
      </w:r>
    </w:p>
    <w:p w:rsidR="005425DE" w:rsidRPr="0052255D" w:rsidP="0052255D">
      <w:pPr>
        <w:tabs>
          <w:tab w:val="left" w:pos="1440"/>
        </w:tabs>
        <w:ind w:firstLine="720"/>
        <w:rPr>
          <w:color w:val="000000" w:themeColor="text1"/>
        </w:rPr>
      </w:pPr>
      <w:r w:rsidRPr="0052255D">
        <w:t xml:space="preserve">We review a trial court’s determination regarding juror bias </w:t>
      </w:r>
      <w:r w:rsidRPr="0052255D" w:rsidR="008135E8">
        <w:t>for abuse of discretion.  (</w:t>
      </w:r>
      <w:r w:rsidRPr="0052255D" w:rsidR="00D461CC">
        <w:rPr>
          <w:i/>
          <w:iCs/>
        </w:rPr>
        <w:t xml:space="preserve">People v. Jones </w:t>
      </w:r>
      <w:r w:rsidRPr="0052255D" w:rsidR="00D461CC">
        <w:t>(2012) 54 Cal.4th 1, 41 (</w:t>
      </w:r>
      <w:r w:rsidRPr="0052255D" w:rsidR="00D461CC">
        <w:rPr>
          <w:i/>
          <w:iCs/>
        </w:rPr>
        <w:t>Jones</w:t>
      </w:r>
      <w:r w:rsidRPr="0052255D" w:rsidR="00D461CC">
        <w:t>).</w:t>
      </w:r>
      <w:r w:rsidRPr="0052255D" w:rsidR="008135E8">
        <w:t xml:space="preserve">) </w:t>
      </w:r>
      <w:r w:rsidRPr="0052255D" w:rsidR="00172DC2">
        <w:t xml:space="preserve"> “</w:t>
      </w:r>
      <w:r w:rsidRPr="0052255D" w:rsidR="00172DC2">
        <w:rPr>
          <w:color w:val="000000" w:themeColor="text1"/>
        </w:rPr>
        <w:t> </w:t>
      </w:r>
      <w:r w:rsidRPr="0052255D" w:rsidR="00172DC2">
        <w:t>‘[A]ppellate courts recognize that a trial judge who observes and speaks with a prospective juror and hears that person’s responses (noting, among other things, the person’s tone of voice, apparent level of confidence, and demeanor), gleans valuable information that simply does not appear on the record.’  [Citation.]  As such, ‘the reviewing court generally must defer to the judge who sees and hears the prospective juror, and who has the “definite impression” that he is biased, despite a failure to express clear views.’</w:t>
      </w:r>
      <w:r w:rsidRPr="0052255D" w:rsidR="00257136">
        <w:t> </w:t>
      </w:r>
      <w:r w:rsidRPr="0052255D" w:rsidR="00172DC2">
        <w:t xml:space="preserve">” </w:t>
      </w:r>
      <w:r w:rsidRPr="0052255D" w:rsidR="003A3F62">
        <w:t xml:space="preserve"> (</w:t>
      </w:r>
      <w:r w:rsidRPr="0052255D" w:rsidR="00144376">
        <w:rPr>
          <w:i/>
          <w:iCs/>
        </w:rPr>
        <w:t>I</w:t>
      </w:r>
      <w:r w:rsidR="005D5A98">
        <w:rPr>
          <w:i/>
          <w:iCs/>
        </w:rPr>
        <w:t>bi</w:t>
      </w:r>
      <w:r w:rsidRPr="0052255D" w:rsidR="00144376">
        <w:rPr>
          <w:i/>
          <w:iCs/>
        </w:rPr>
        <w:t>d.</w:t>
      </w:r>
      <w:r w:rsidRPr="0052255D" w:rsidR="003A3F62">
        <w:t xml:space="preserve">; see also </w:t>
      </w:r>
      <w:r w:rsidRPr="0052255D" w:rsidR="00101FBA">
        <w:rPr>
          <w:i/>
          <w:iCs/>
        </w:rPr>
        <w:t>Uttecht</w:t>
      </w:r>
      <w:r w:rsidRPr="0052255D" w:rsidR="00924E0A">
        <w:t xml:space="preserve">, </w:t>
      </w:r>
      <w:r w:rsidRPr="0052255D" w:rsidR="00924E0A">
        <w:rPr>
          <w:i/>
          <w:iCs/>
        </w:rPr>
        <w:t>supra</w:t>
      </w:r>
      <w:r w:rsidRPr="0052255D" w:rsidR="00924E0A">
        <w:t>,</w:t>
      </w:r>
      <w:r w:rsidRPr="0052255D" w:rsidR="00924E0A">
        <w:rPr>
          <w:i/>
          <w:iCs/>
        </w:rPr>
        <w:t xml:space="preserve"> </w:t>
      </w:r>
      <w:r w:rsidRPr="0052255D" w:rsidR="00101FBA">
        <w:t xml:space="preserve">551 U.S. </w:t>
      </w:r>
      <w:r w:rsidRPr="0052255D" w:rsidR="00924E0A">
        <w:t>at p.</w:t>
      </w:r>
      <w:r w:rsidRPr="0052255D" w:rsidR="00101FBA">
        <w:t xml:space="preserve"> 9 </w:t>
      </w:r>
      <w:r w:rsidRPr="0052255D" w:rsidR="00172DC2">
        <w:t>[</w:t>
      </w:r>
      <w:r w:rsidRPr="0052255D" w:rsidR="00101FBA">
        <w:t>“</w:t>
      </w:r>
      <w:r w:rsidRPr="0052255D" w:rsidR="00172DC2">
        <w:t>Deference to the trial court is appropriate because it is in a position to assess the demeanor of the venire, and of the individuals who compose it, a factor of critical importance in assessing the attitude and qualifications of potential jurors</w:t>
      </w:r>
      <w:r w:rsidRPr="0052255D" w:rsidR="00101FBA">
        <w:t>”</w:t>
      </w:r>
      <w:r w:rsidRPr="0052255D" w:rsidR="00172DC2">
        <w:t>].)</w:t>
      </w:r>
      <w:r w:rsidRPr="0052255D" w:rsidR="00433527">
        <w:t xml:space="preserve"> </w:t>
      </w:r>
      <w:r w:rsidRPr="0052255D" w:rsidR="00433527">
        <w:rPr>
          <w:color w:val="000000" w:themeColor="text1"/>
        </w:rPr>
        <w:t xml:space="preserve"> </w:t>
      </w:r>
    </w:p>
    <w:p w:rsidR="00D461CC" w:rsidRPr="0052255D" w:rsidP="0052255D">
      <w:pPr>
        <w:tabs>
          <w:tab w:val="left" w:pos="1440"/>
        </w:tabs>
        <w:ind w:firstLine="720"/>
        <w:rPr>
          <w:color w:val="000000" w:themeColor="text1"/>
        </w:rPr>
      </w:pPr>
      <w:r w:rsidRPr="0052255D">
        <w:t xml:space="preserve">“During voir dire, jurors commonly supply conflicting or equivocal responses to questions directed at their potential bias or incapacity to serve.  When such conflicting or equivocal answers are given, the trial court, through its observation of the juror’s demeanor as well as through its evaluation of the juror’s verbal responses, is best suited to reach a conclusion regarding the juror’s actual state of mind.  [Citation.]  ‘ “ ‘There is no requirement that a prospective juror’s bias against the death penalty be proven with unmistakable clarity.  [Citations.] Rather, it is sufficient that the trial judge is left with the definite impression that a prospective juror would be unable to faithfully and impartially apply the law in the case before the juror.’ ” ’ </w:t>
      </w:r>
      <w:r w:rsidRPr="0052255D">
        <w:rPr>
          <w:rStyle w:val="costarpage"/>
        </w:rPr>
        <w:t xml:space="preserve"> [Citation.]</w:t>
      </w:r>
      <w:r w:rsidRPr="0052255D">
        <w:t xml:space="preserve">  ‘[T]he [trial court’s] finding may be upheld even in the absence of clear statements from the juror that he or she is impaired because “many veniremen simply cannot be asked enough questions to reach the point where their bias has been made ‘unmistakably clear’; these veniremen may not know how they will react when faced with imposing the death sentence, or may be unable to articulate, or may wish to hide their true feelings.”  [Citation.]  Thus, when there is ambiguity in the prospective juror’s statements, “the trial court, aided as it undoubtedly [is] by its assessment of [the venireman’s] demeanor, [is] entitled to resolve it in favor of the State.” ’</w:t>
      </w:r>
      <w:r w:rsidRPr="0052255D" w:rsidR="00D84726">
        <w:t> </w:t>
      </w:r>
      <w:r w:rsidRPr="0052255D">
        <w:t>”  (</w:t>
      </w:r>
      <w:r w:rsidRPr="0052255D">
        <w:rPr>
          <w:i/>
          <w:iCs/>
        </w:rPr>
        <w:t>Jones</w:t>
      </w:r>
      <w:r w:rsidRPr="0052255D" w:rsidR="000B0E9C">
        <w:t>,</w:t>
      </w:r>
      <w:r w:rsidRPr="0052255D" w:rsidR="000B0E9C">
        <w:rPr>
          <w:i/>
          <w:iCs/>
        </w:rPr>
        <w:t xml:space="preserve"> supra</w:t>
      </w:r>
      <w:r w:rsidRPr="0052255D" w:rsidR="000B0E9C">
        <w:t>,</w:t>
      </w:r>
      <w:r w:rsidRPr="0052255D">
        <w:t xml:space="preserve"> 54</w:t>
      </w:r>
      <w:r w:rsidRPr="0052255D" w:rsidR="00BE6870">
        <w:t> </w:t>
      </w:r>
      <w:r w:rsidRPr="0052255D">
        <w:t xml:space="preserve">Cal.4th </w:t>
      </w:r>
      <w:r w:rsidRPr="0052255D" w:rsidR="000B0E9C">
        <w:t>at p.</w:t>
      </w:r>
      <w:r w:rsidRPr="0052255D">
        <w:t xml:space="preserve"> 41</w:t>
      </w:r>
      <w:r w:rsidRPr="0052255D" w:rsidR="0060011A">
        <w:t xml:space="preserve">, </w:t>
      </w:r>
      <w:r w:rsidRPr="0052255D" w:rsidR="00D84726">
        <w:t>quo</w:t>
      </w:r>
      <w:r w:rsidRPr="0052255D" w:rsidR="0060011A">
        <w:t>ting</w:t>
      </w:r>
      <w:r w:rsidRPr="0052255D" w:rsidR="005859D5">
        <w:t xml:space="preserve"> </w:t>
      </w:r>
      <w:r w:rsidRPr="0052255D" w:rsidR="005859D5">
        <w:rPr>
          <w:i/>
          <w:iCs/>
        </w:rPr>
        <w:t>Uttecht</w:t>
      </w:r>
      <w:r w:rsidRPr="0052255D" w:rsidR="005859D5">
        <w:t xml:space="preserve">, </w:t>
      </w:r>
      <w:r w:rsidRPr="0052255D" w:rsidR="005859D5">
        <w:rPr>
          <w:i/>
          <w:iCs/>
        </w:rPr>
        <w:t>supra</w:t>
      </w:r>
      <w:r w:rsidRPr="0052255D" w:rsidR="005859D5">
        <w:t>, 551</w:t>
      </w:r>
      <w:r w:rsidR="000C04D2">
        <w:t> </w:t>
      </w:r>
      <w:r w:rsidRPr="0052255D" w:rsidR="005859D5">
        <w:t>U.S.</w:t>
      </w:r>
      <w:r w:rsidRPr="0052255D" w:rsidR="005859D5">
        <w:rPr>
          <w:i/>
          <w:iCs/>
        </w:rPr>
        <w:t xml:space="preserve"> </w:t>
      </w:r>
      <w:r w:rsidRPr="0052255D" w:rsidR="005859D5">
        <w:t xml:space="preserve">at p. 7; </w:t>
      </w:r>
      <w:r w:rsidRPr="0052255D" w:rsidR="007B2581">
        <w:t xml:space="preserve">see also </w:t>
      </w:r>
      <w:r w:rsidRPr="0052255D" w:rsidR="007F4B89">
        <w:rPr>
          <w:rStyle w:val="Emphasis"/>
        </w:rPr>
        <w:t xml:space="preserve">People v. Duenas </w:t>
      </w:r>
      <w:r w:rsidRPr="0052255D" w:rsidR="007F4B89">
        <w:rPr>
          <w:rStyle w:val="Emphasis"/>
          <w:i w:val="0"/>
          <w:iCs w:val="0"/>
        </w:rPr>
        <w:t>(2012) 55 Cal.4th 1, 10</w:t>
      </w:r>
      <w:r w:rsidRPr="0052255D" w:rsidR="005859D5">
        <w:t xml:space="preserve"> [“When the prospective juror’s answers on voir dire are conflicting or equivocal, the trial court’s findings as to the prospective juror’s state of mind are binding on appellate courts</w:t>
      </w:r>
      <w:r w:rsidRPr="0052255D" w:rsidR="005962D1">
        <w:t xml:space="preserve"> if supported by substantial evidence</w:t>
      </w:r>
      <w:r w:rsidRPr="0052255D" w:rsidR="005859D5">
        <w:t>”]</w:t>
      </w:r>
      <w:r w:rsidRPr="0052255D">
        <w:t>.)</w:t>
      </w:r>
      <w:r w:rsidRPr="0052255D" w:rsidR="00935588">
        <w:t xml:space="preserve"> </w:t>
      </w:r>
      <w:r w:rsidRPr="0052255D" w:rsidR="00935588">
        <w:rPr>
          <w:color w:val="000000" w:themeColor="text1"/>
        </w:rPr>
        <w:t xml:space="preserve"> “</w:t>
      </w:r>
      <w:r w:rsidRPr="0052255D" w:rsidR="00935588">
        <w:t>Even when ‘ “[t]he precise wording of the question asked of [the venireman], and the answer he gave, do not by themselves compel the conclusion that he could not under any circumstance recommend the death penalty,</w:t>
      </w:r>
      <w:r w:rsidRPr="0052255D" w:rsidR="00DA7732">
        <w:t>”</w:t>
      </w:r>
      <w:r w:rsidRPr="0052255D" w:rsidR="00935588">
        <w:t xml:space="preserve"> the need to defer to the trial court remains because so much may turn on a potential juror</w:t>
      </w:r>
      <w:r w:rsidRPr="0052255D" w:rsidR="00DA7732">
        <w:t>’</w:t>
      </w:r>
      <w:r w:rsidRPr="0052255D" w:rsidR="00935588">
        <w:t>s demeanor.</w:t>
      </w:r>
      <w:r w:rsidRPr="0052255D" w:rsidR="00DA7732">
        <w:t>’ </w:t>
      </w:r>
      <w:r w:rsidRPr="0052255D" w:rsidR="00935588">
        <w:t>”</w:t>
      </w:r>
      <w:r w:rsidRPr="0052255D" w:rsidR="00DA7732">
        <w:t xml:space="preserve">  (</w:t>
      </w:r>
      <w:r w:rsidRPr="0052255D" w:rsidR="00DA7732">
        <w:rPr>
          <w:i/>
          <w:iCs/>
        </w:rPr>
        <w:t>Jones</w:t>
      </w:r>
      <w:r w:rsidRPr="0052255D" w:rsidR="00DA7732">
        <w:t>, at p.</w:t>
      </w:r>
      <w:r w:rsidR="00B4645D">
        <w:t> </w:t>
      </w:r>
      <w:r w:rsidRPr="0052255D" w:rsidR="004603D8">
        <w:t xml:space="preserve">42, quoting </w:t>
      </w:r>
      <w:r w:rsidRPr="0052255D" w:rsidR="004603D8">
        <w:rPr>
          <w:i/>
          <w:iCs/>
        </w:rPr>
        <w:t>Uttecht</w:t>
      </w:r>
      <w:r w:rsidRPr="0052255D" w:rsidR="004603D8">
        <w:t>, at p. 8.)</w:t>
      </w:r>
      <w:r w:rsidRPr="0052255D" w:rsidR="00052889">
        <w:t xml:space="preserve"> </w:t>
      </w:r>
      <w:r w:rsidRPr="0052255D" w:rsidR="00052889">
        <w:rPr>
          <w:color w:val="000000" w:themeColor="text1"/>
        </w:rPr>
        <w:t xml:space="preserve"> </w:t>
      </w:r>
      <w:r w:rsidRPr="0052255D" w:rsidR="00746CDC">
        <w:rPr>
          <w:color w:val="000000" w:themeColor="text1"/>
        </w:rPr>
        <w:t xml:space="preserve">  </w:t>
      </w:r>
    </w:p>
    <w:p w:rsidR="00D461CC" w:rsidRPr="0052255D" w:rsidP="0052255D">
      <w:pPr>
        <w:tabs>
          <w:tab w:val="left" w:pos="1440"/>
        </w:tabs>
        <w:ind w:firstLine="720"/>
      </w:pPr>
      <w:r w:rsidRPr="0052255D">
        <w:t xml:space="preserve">With this standard in mind, we turn to </w:t>
      </w:r>
      <w:r w:rsidRPr="0052255D" w:rsidR="00FA3D49">
        <w:t xml:space="preserve">whether the trial court properly excluded </w:t>
      </w:r>
      <w:r w:rsidRPr="0052255D" w:rsidR="004603D8">
        <w:t>the two prospective jurors in question</w:t>
      </w:r>
      <w:r w:rsidRPr="0052255D" w:rsidR="00FA3D49">
        <w:t>.</w:t>
      </w:r>
      <w:r w:rsidRPr="0052255D" w:rsidR="003D5C11">
        <w:t xml:space="preserve"> </w:t>
      </w:r>
    </w:p>
    <w:p w:rsidR="00FA5F56" w:rsidRPr="0052255D" w:rsidP="0052255D">
      <w:pPr>
        <w:pStyle w:val="Heading4"/>
      </w:pPr>
      <w:bookmarkStart w:id="12" w:name="_Toc94515332"/>
      <w:r w:rsidRPr="0052255D">
        <w:t xml:space="preserve">b.  </w:t>
      </w:r>
      <w:r w:rsidRPr="0052255D" w:rsidR="004041C4">
        <w:t>Analysis</w:t>
      </w:r>
      <w:bookmarkEnd w:id="12"/>
    </w:p>
    <w:p w:rsidR="00075ECC" w:rsidRPr="0052255D" w:rsidP="0052255D">
      <w:pPr>
        <w:pStyle w:val="Heading5"/>
      </w:pPr>
      <w:bookmarkStart w:id="13" w:name="_Toc94515333"/>
      <w:r w:rsidRPr="0052255D">
        <w:t>i</w:t>
      </w:r>
      <w:r w:rsidRPr="0052255D" w:rsidR="00BE4F76">
        <w:t xml:space="preserve">.  </w:t>
      </w:r>
      <w:r w:rsidRPr="0052255D" w:rsidR="00E42F9C">
        <w:t xml:space="preserve">Prospective </w:t>
      </w:r>
      <w:r w:rsidRPr="0052255D">
        <w:t xml:space="preserve">Juror </w:t>
      </w:r>
      <w:r w:rsidRPr="0052255D" w:rsidR="00ED3132">
        <w:t>No. 259</w:t>
      </w:r>
      <w:r w:rsidRPr="0052255D" w:rsidR="006563A6">
        <w:t xml:space="preserve"> </w:t>
      </w:r>
      <w:bookmarkEnd w:id="13"/>
    </w:p>
    <w:p w:rsidR="00D9181C" w:rsidRPr="0052255D" w:rsidP="0052255D">
      <w:pPr>
        <w:tabs>
          <w:tab w:val="left" w:pos="1440"/>
        </w:tabs>
        <w:ind w:firstLine="720"/>
      </w:pPr>
      <w:r w:rsidRPr="0052255D">
        <w:t>I</w:t>
      </w:r>
      <w:r w:rsidRPr="0052255D" w:rsidR="00C524B6">
        <w:t xml:space="preserve">n her questionnaire, </w:t>
      </w:r>
      <w:r w:rsidRPr="0052255D" w:rsidR="00E42F9C">
        <w:t>Prospective Juror N</w:t>
      </w:r>
      <w:r w:rsidRPr="0052255D" w:rsidR="002D1BC1">
        <w:t>o</w:t>
      </w:r>
      <w:r w:rsidRPr="0052255D" w:rsidR="006563A6">
        <w:t>.</w:t>
      </w:r>
      <w:r w:rsidRPr="0052255D" w:rsidR="002D1BC1">
        <w:t xml:space="preserve"> 259</w:t>
      </w:r>
      <w:r w:rsidRPr="0052255D" w:rsidR="00BA4C60">
        <w:t xml:space="preserve"> signaled a degree of uncertainty and discomfort regarding the death penalty.</w:t>
      </w:r>
      <w:r w:rsidRPr="0052255D" w:rsidR="004D0A37">
        <w:t xml:space="preserve">  </w:t>
      </w:r>
      <w:r w:rsidRPr="0052255D">
        <w:t xml:space="preserve">Asked whether there </w:t>
      </w:r>
      <w:r w:rsidRPr="0052255D" w:rsidR="00BE35DD">
        <w:t>was</w:t>
      </w:r>
      <w:r w:rsidRPr="0052255D">
        <w:t xml:space="preserve"> anything that </w:t>
      </w:r>
      <w:r w:rsidRPr="0052255D" w:rsidR="00BE35DD">
        <w:t>she wanted</w:t>
      </w:r>
      <w:r w:rsidRPr="0052255D" w:rsidR="00C90497">
        <w:t xml:space="preserve"> to bring to the court’s attention that </w:t>
      </w:r>
      <w:r w:rsidRPr="0052255D">
        <w:t xml:space="preserve">might affect </w:t>
      </w:r>
      <w:r w:rsidRPr="0052255D" w:rsidR="00BE35DD">
        <w:t>her</w:t>
      </w:r>
      <w:r w:rsidRPr="0052255D">
        <w:t xml:space="preserve"> </w:t>
      </w:r>
      <w:r w:rsidRPr="0052255D" w:rsidR="00083B20">
        <w:t xml:space="preserve">ability to be a fair and impartial juror in this case, Prospective Juror </w:t>
      </w:r>
      <w:r w:rsidRPr="0052255D" w:rsidR="002D1BC1">
        <w:t xml:space="preserve">No. 259 </w:t>
      </w:r>
      <w:r w:rsidRPr="0052255D" w:rsidR="00083B20">
        <w:t xml:space="preserve">wrote:  “Little uncomfortable seeing how young the </w:t>
      </w:r>
      <w:r w:rsidRPr="0052255D" w:rsidR="00F52EA1">
        <w:t>[two]</w:t>
      </w:r>
      <w:r w:rsidRPr="0052255D" w:rsidR="00083B20">
        <w:t xml:space="preserve"> men were, and finding out the crime was done </w:t>
      </w:r>
      <w:r w:rsidRPr="0052255D" w:rsidR="00F52EA1">
        <w:t>[eight]</w:t>
      </w:r>
      <w:r w:rsidRPr="0052255D" w:rsidR="00083B20">
        <w:t xml:space="preserve"> years ago.  Just questioning myself if I can be impartial, without being sympathetic.”  </w:t>
      </w:r>
      <w:r w:rsidRPr="0052255D" w:rsidR="003D415F">
        <w:t xml:space="preserve">She </w:t>
      </w:r>
      <w:r w:rsidRPr="0052255D" w:rsidR="007F35B7">
        <w:t>also stat</w:t>
      </w:r>
      <w:r w:rsidRPr="0052255D" w:rsidR="0001644E">
        <w:t xml:space="preserve">ed that she did not </w:t>
      </w:r>
      <w:r w:rsidRPr="0052255D" w:rsidR="004C58E3">
        <w:t>believe</w:t>
      </w:r>
      <w:r w:rsidRPr="0052255D" w:rsidR="0001644E">
        <w:t xml:space="preserve"> the death penalty </w:t>
      </w:r>
      <w:r w:rsidRPr="0052255D" w:rsidR="004C58E3">
        <w:t>wa</w:t>
      </w:r>
      <w:r w:rsidRPr="0052255D" w:rsidR="0001644E">
        <w:t>s a deterrent</w:t>
      </w:r>
      <w:r w:rsidRPr="0052255D" w:rsidR="004C58E3">
        <w:t xml:space="preserve"> </w:t>
      </w:r>
      <w:r w:rsidRPr="0052255D" w:rsidR="007F35B7">
        <w:t>and th</w:t>
      </w:r>
      <w:r w:rsidRPr="0052255D" w:rsidR="00987C5A">
        <w:t xml:space="preserve">at it was for “evil people in the world, who cannot be reformed” and </w:t>
      </w:r>
      <w:r w:rsidRPr="0052255D" w:rsidR="00FE32C8">
        <w:t>who “</w:t>
      </w:r>
      <w:r w:rsidRPr="0052255D" w:rsidR="00987C5A">
        <w:t xml:space="preserve">will continue to murder, with no remorse.”  </w:t>
      </w:r>
      <w:r w:rsidRPr="0052255D" w:rsidR="00FE32C8">
        <w:t xml:space="preserve">She noted that she used to believe that the death penalty was “for no one,” but “too many crimes are </w:t>
      </w:r>
      <w:r w:rsidRPr="0052255D" w:rsidR="00E56AD1">
        <w:t xml:space="preserve">[by] </w:t>
      </w:r>
      <w:r w:rsidRPr="0052255D" w:rsidR="00FE32C8">
        <w:t xml:space="preserve">repeat murderers.”  </w:t>
      </w:r>
      <w:r w:rsidRPr="0052255D" w:rsidR="00A610DE">
        <w:t xml:space="preserve">She also </w:t>
      </w:r>
      <w:r w:rsidRPr="0052255D" w:rsidR="003374DE">
        <w:t>stated</w:t>
      </w:r>
      <w:r w:rsidRPr="0052255D" w:rsidR="00A610DE">
        <w:t xml:space="preserve"> that she</w:t>
      </w:r>
      <w:r w:rsidRPr="0052255D" w:rsidR="00041D9C">
        <w:t xml:space="preserve"> </w:t>
      </w:r>
      <w:r w:rsidRPr="0052255D" w:rsidR="00426D97">
        <w:t>“d[</w:t>
      </w:r>
      <w:r w:rsidRPr="0052255D" w:rsidR="00A610DE">
        <w:t>id</w:t>
      </w:r>
      <w:r w:rsidRPr="0052255D" w:rsidR="00426D97">
        <w:t xml:space="preserve">]n’t care for” having the responsibility of deciding whether </w:t>
      </w:r>
      <w:r w:rsidRPr="0052255D" w:rsidR="00B234F9">
        <w:t>someone lives or dies</w:t>
      </w:r>
      <w:r w:rsidRPr="0052255D" w:rsidR="00426D97">
        <w:t xml:space="preserve"> and </w:t>
      </w:r>
      <w:r w:rsidRPr="0052255D" w:rsidR="00B234F9">
        <w:t xml:space="preserve">she </w:t>
      </w:r>
      <w:r w:rsidRPr="0052255D" w:rsidR="00426D97">
        <w:t xml:space="preserve">“would rather give that responsibility to someone else.”  </w:t>
      </w:r>
      <w:r w:rsidRPr="0052255D" w:rsidR="00E56AD1">
        <w:t xml:space="preserve">She added that in deciding whether </w:t>
      </w:r>
      <w:r w:rsidRPr="0052255D" w:rsidR="002C4801">
        <w:t>a person</w:t>
      </w:r>
      <w:r w:rsidRPr="0052255D" w:rsidR="00E56AD1">
        <w:t xml:space="preserve"> should receive the penalty, she “would have to be sure that i</w:t>
      </w:r>
      <w:r w:rsidRPr="0052255D" w:rsidR="00022544">
        <w:t>t</w:t>
      </w:r>
      <w:r w:rsidRPr="0052255D" w:rsidR="00E56AD1">
        <w:t xml:space="preserve"> serves a purpose</w:t>
      </w:r>
      <w:r w:rsidR="000D6BD6">
        <w:t> </w:t>
      </w:r>
      <w:r w:rsidRPr="0052255D" w:rsidR="00E56AD1">
        <w:t xml:space="preserve">— life is too precious for a chosen few to take it away.”  </w:t>
      </w:r>
      <w:r w:rsidRPr="0052255D" w:rsidR="00A610DE">
        <w:t>She also indicated in her questionnaire, h</w:t>
      </w:r>
      <w:r w:rsidRPr="0052255D" w:rsidR="00A10233">
        <w:t xml:space="preserve">owever, that she would </w:t>
      </w:r>
      <w:r w:rsidRPr="0052255D" w:rsidR="000F5C2C">
        <w:t>not have a</w:t>
      </w:r>
      <w:r w:rsidRPr="0052255D" w:rsidR="00A10233">
        <w:t xml:space="preserve"> problem voting for the death penalty if she believed the individual </w:t>
      </w:r>
      <w:r w:rsidRPr="0052255D" w:rsidR="00281C47">
        <w:t xml:space="preserve">committed the crime </w:t>
      </w:r>
      <w:r w:rsidRPr="0052255D" w:rsidR="00A10233">
        <w:t xml:space="preserve">willfully and without remorse and has no chance of being rehabilitated, </w:t>
      </w:r>
      <w:r w:rsidRPr="0052255D" w:rsidR="003374DE">
        <w:t xml:space="preserve">that </w:t>
      </w:r>
      <w:r w:rsidRPr="0052255D" w:rsidR="000D6A9D">
        <w:t xml:space="preserve">she could set aside her personal feelings and follow the law, </w:t>
      </w:r>
      <w:r w:rsidRPr="0052255D" w:rsidR="00A10233">
        <w:t xml:space="preserve">and </w:t>
      </w:r>
      <w:r w:rsidRPr="0052255D" w:rsidR="003374DE">
        <w:t xml:space="preserve">that she </w:t>
      </w:r>
      <w:r w:rsidRPr="0052255D" w:rsidR="00A10233">
        <w:t xml:space="preserve">would look at all the criteria before </w:t>
      </w:r>
      <w:r w:rsidRPr="0052255D" w:rsidR="00A70A27">
        <w:t xml:space="preserve">deciding </w:t>
      </w:r>
      <w:r w:rsidRPr="0052255D" w:rsidR="00A10233">
        <w:t xml:space="preserve">whether to vote for death or life imprisonment. </w:t>
      </w:r>
    </w:p>
    <w:p w:rsidR="00426D97" w:rsidRPr="0052255D" w:rsidP="0052255D">
      <w:pPr>
        <w:tabs>
          <w:tab w:val="left" w:pos="1440"/>
        </w:tabs>
        <w:ind w:firstLine="720"/>
      </w:pPr>
      <w:r w:rsidRPr="0052255D">
        <w:t xml:space="preserve">During </w:t>
      </w:r>
      <w:r w:rsidRPr="0052255D" w:rsidR="006B33FB">
        <w:t>voir dire for the selection of seated jurors</w:t>
      </w:r>
      <w:r w:rsidRPr="0052255D">
        <w:t xml:space="preserve">, </w:t>
      </w:r>
      <w:r w:rsidRPr="0052255D" w:rsidR="00A60080">
        <w:t>defendant’s</w:t>
      </w:r>
      <w:r w:rsidRPr="0052255D" w:rsidR="000C3734">
        <w:t xml:space="preserve"> counsel asked Prospective Juror </w:t>
      </w:r>
      <w:r w:rsidRPr="0052255D" w:rsidR="002D1BC1">
        <w:t xml:space="preserve">No. 259 </w:t>
      </w:r>
      <w:r w:rsidRPr="0052255D" w:rsidR="006B33FB">
        <w:t xml:space="preserve">how she </w:t>
      </w:r>
      <w:r w:rsidRPr="0052255D" w:rsidR="000C3734">
        <w:t xml:space="preserve">felt about sitting in judgment </w:t>
      </w:r>
      <w:r w:rsidRPr="0052255D" w:rsidR="00556C9D">
        <w:t xml:space="preserve">in </w:t>
      </w:r>
      <w:r w:rsidRPr="0052255D" w:rsidR="000C3734">
        <w:t xml:space="preserve">a case </w:t>
      </w:r>
      <w:r w:rsidRPr="0052255D" w:rsidR="002E1EA4">
        <w:t xml:space="preserve">of this nature.  </w:t>
      </w:r>
      <w:r w:rsidRPr="0052255D" w:rsidR="00D22292">
        <w:t>Prospective Juror No.</w:t>
      </w:r>
      <w:r w:rsidR="00371CF9">
        <w:t> </w:t>
      </w:r>
      <w:r w:rsidRPr="0052255D" w:rsidR="00D22292">
        <w:t>259 answered</w:t>
      </w:r>
      <w:r w:rsidRPr="0052255D" w:rsidR="002E1EA4">
        <w:t>, “I’m hoping the prosecution doesn’t have enough evidence to get to the second phase</w:t>
      </w:r>
      <w:r w:rsidRPr="0052255D" w:rsidR="00F917EE">
        <w:t>.”  She</w:t>
      </w:r>
      <w:r w:rsidRPr="0052255D" w:rsidR="004D0B70">
        <w:t xml:space="preserve"> </w:t>
      </w:r>
      <w:r w:rsidRPr="0052255D" w:rsidR="00D22292">
        <w:t>add</w:t>
      </w:r>
      <w:r w:rsidRPr="0052255D" w:rsidR="004D0B70">
        <w:t xml:space="preserve">ed, “I don’t want to </w:t>
      </w:r>
      <w:r w:rsidRPr="0052255D" w:rsidR="00A75298">
        <w:t xml:space="preserve">see the second phase.  I see two innocent men, and I’m hoping that he doesn’t have enough.”  </w:t>
      </w:r>
      <w:r w:rsidRPr="0052255D" w:rsidR="00D111E3">
        <w:t>D</w:t>
      </w:r>
      <w:r w:rsidRPr="0052255D" w:rsidR="00A75298">
        <w:t>efen</w:t>
      </w:r>
      <w:r w:rsidRPr="0052255D" w:rsidR="00A60080">
        <w:t>dant’s</w:t>
      </w:r>
      <w:r w:rsidRPr="0052255D" w:rsidR="00A75298">
        <w:t xml:space="preserve"> counsel </w:t>
      </w:r>
      <w:r w:rsidRPr="0052255D" w:rsidR="00F34A24">
        <w:t>clarified that</w:t>
      </w:r>
      <w:r w:rsidRPr="0052255D" w:rsidR="00A75298">
        <w:t xml:space="preserve"> </w:t>
      </w:r>
      <w:r w:rsidRPr="0052255D" w:rsidR="00D111E3">
        <w:t>Prospective Juror No. 259 should assume a defendant’s innocence</w:t>
      </w:r>
      <w:r w:rsidRPr="0052255D" w:rsidR="00C7543B">
        <w:t xml:space="preserve"> before the commencement of trial, </w:t>
      </w:r>
      <w:r w:rsidRPr="0052255D" w:rsidR="00E4075A">
        <w:t>and asked whether</w:t>
      </w:r>
      <w:r w:rsidRPr="0052255D" w:rsidR="00111B25">
        <w:t xml:space="preserve">, </w:t>
      </w:r>
      <w:r w:rsidRPr="0052255D" w:rsidR="00C7543B">
        <w:t>assuming</w:t>
      </w:r>
      <w:r w:rsidRPr="0052255D" w:rsidR="00E4075A">
        <w:t xml:space="preserve"> that they did get to the second phase, </w:t>
      </w:r>
      <w:r w:rsidRPr="0052255D" w:rsidR="00111B25">
        <w:t xml:space="preserve">she </w:t>
      </w:r>
      <w:r w:rsidRPr="0052255D" w:rsidR="007B6A01">
        <w:t xml:space="preserve">could </w:t>
      </w:r>
      <w:r w:rsidRPr="0052255D" w:rsidR="00111B25">
        <w:t>engag</w:t>
      </w:r>
      <w:r w:rsidRPr="0052255D" w:rsidR="00D111E3">
        <w:t>e</w:t>
      </w:r>
      <w:r w:rsidRPr="0052255D" w:rsidR="00111B25">
        <w:t xml:space="preserve"> in the weighing process and consider the appropriate factors</w:t>
      </w:r>
      <w:r w:rsidRPr="0052255D" w:rsidR="00511942">
        <w:t xml:space="preserve">.  Prospective Juror </w:t>
      </w:r>
      <w:r w:rsidRPr="0052255D" w:rsidR="002D1BC1">
        <w:t>No.</w:t>
      </w:r>
      <w:r w:rsidRPr="0052255D" w:rsidR="00BE6870">
        <w:t> </w:t>
      </w:r>
      <w:r w:rsidRPr="0052255D" w:rsidR="002D1BC1">
        <w:t xml:space="preserve">259 </w:t>
      </w:r>
      <w:r w:rsidRPr="0052255D" w:rsidR="00D111E3">
        <w:t>responded</w:t>
      </w:r>
      <w:r w:rsidRPr="0052255D" w:rsidR="00511942">
        <w:t xml:space="preserve"> that she could</w:t>
      </w:r>
      <w:r w:rsidRPr="0052255D" w:rsidR="009B0183">
        <w:t xml:space="preserve"> do so and would keep an open mind</w:t>
      </w:r>
      <w:r w:rsidRPr="0052255D" w:rsidR="00511942">
        <w:t xml:space="preserve">.   </w:t>
      </w:r>
      <w:r w:rsidRPr="0052255D" w:rsidR="00A75298">
        <w:t xml:space="preserve"> </w:t>
      </w:r>
    </w:p>
    <w:p w:rsidR="00511942" w:rsidRPr="0052255D" w:rsidP="0052255D">
      <w:pPr>
        <w:tabs>
          <w:tab w:val="left" w:pos="1440"/>
        </w:tabs>
        <w:ind w:firstLine="720"/>
      </w:pPr>
      <w:r w:rsidRPr="0052255D">
        <w:t>C</w:t>
      </w:r>
      <w:r w:rsidRPr="0052255D" w:rsidR="00A60080">
        <w:t>ounsel for codefendant Lee</w:t>
      </w:r>
      <w:r w:rsidRPr="0052255D" w:rsidR="00B13608">
        <w:t xml:space="preserve"> asked Prospective Juror </w:t>
      </w:r>
      <w:r w:rsidRPr="0052255D" w:rsidR="002D1BC1">
        <w:t>No.</w:t>
      </w:r>
      <w:r w:rsidR="00371CF9">
        <w:t> </w:t>
      </w:r>
      <w:r w:rsidRPr="0052255D" w:rsidR="002D1BC1">
        <w:t xml:space="preserve">259 </w:t>
      </w:r>
      <w:r w:rsidRPr="0052255D" w:rsidR="00B13608">
        <w:t xml:space="preserve">whether she </w:t>
      </w:r>
      <w:r w:rsidRPr="0052255D" w:rsidR="003A5639">
        <w:t xml:space="preserve">had concerns about </w:t>
      </w:r>
      <w:r w:rsidRPr="0052255D" w:rsidR="006627B8">
        <w:t xml:space="preserve">her ability to give her individual opinion at the end of the case.  </w:t>
      </w:r>
      <w:r w:rsidRPr="0052255D">
        <w:t>Prospective Juror No.</w:t>
      </w:r>
      <w:r w:rsidR="00371CF9">
        <w:t> </w:t>
      </w:r>
      <w:r w:rsidRPr="0052255D">
        <w:t>259</w:t>
      </w:r>
      <w:r w:rsidRPr="0052255D" w:rsidR="002D1BC1">
        <w:t xml:space="preserve"> </w:t>
      </w:r>
      <w:r w:rsidRPr="0052255D">
        <w:t>stated</w:t>
      </w:r>
      <w:r w:rsidRPr="0052255D" w:rsidR="005753CE">
        <w:t xml:space="preserve"> that she did not, but </w:t>
      </w:r>
      <w:r w:rsidRPr="0052255D" w:rsidR="00736415">
        <w:t xml:space="preserve">defense </w:t>
      </w:r>
      <w:r w:rsidRPr="0052255D" w:rsidR="005753CE">
        <w:t xml:space="preserve">counsel </w:t>
      </w:r>
      <w:r w:rsidRPr="0052255D" w:rsidR="00A74A94">
        <w:t>observed</w:t>
      </w:r>
      <w:r w:rsidRPr="0052255D" w:rsidR="005753CE">
        <w:t xml:space="preserve"> that she </w:t>
      </w:r>
      <w:r w:rsidRPr="0052255D" w:rsidR="00A74A94">
        <w:t xml:space="preserve">had </w:t>
      </w:r>
      <w:r w:rsidRPr="0052255D" w:rsidR="005753CE">
        <w:t xml:space="preserve">“hesitated a little bit.”  </w:t>
      </w:r>
      <w:r w:rsidRPr="0052255D">
        <w:t>Prospective Juror No.</w:t>
      </w:r>
      <w:r w:rsidR="000876ED">
        <w:t> </w:t>
      </w:r>
      <w:r w:rsidRPr="0052255D">
        <w:t>259</w:t>
      </w:r>
      <w:r w:rsidRPr="0052255D" w:rsidR="00AA6045">
        <w:t xml:space="preserve"> responded, “The only thing I have is I just see these men.  They’re </w:t>
      </w:r>
      <w:r w:rsidRPr="0052255D" w:rsidR="00432D99">
        <w:t xml:space="preserve">just </w:t>
      </w:r>
      <w:r w:rsidRPr="0052255D" w:rsidR="00AA6045">
        <w:t>so young.”</w:t>
      </w:r>
      <w:r w:rsidRPr="0052255D" w:rsidR="009A33D9">
        <w:t xml:space="preserve">  </w:t>
      </w:r>
      <w:r w:rsidRPr="0052255D" w:rsidR="00AA6045">
        <w:t xml:space="preserve">She </w:t>
      </w:r>
      <w:r w:rsidRPr="0052255D" w:rsidR="004B00DD">
        <w:t xml:space="preserve">added, “I’ve got sons about that age.  Maybe that might taint my view a little bit.”  </w:t>
      </w:r>
      <w:r w:rsidRPr="0052255D" w:rsidR="009A33D9">
        <w:t>C</w:t>
      </w:r>
      <w:r w:rsidRPr="0052255D" w:rsidR="00D730AD">
        <w:t>ounsel explained that it was</w:t>
      </w:r>
      <w:r w:rsidRPr="0052255D" w:rsidR="009C4523">
        <w:t xml:space="preserve"> okay to feel sympathy for the victims and the defendant, but </w:t>
      </w:r>
      <w:r w:rsidRPr="0052255D" w:rsidR="009A33D9">
        <w:t xml:space="preserve">that </w:t>
      </w:r>
      <w:r w:rsidRPr="0052255D" w:rsidR="009C4523">
        <w:t xml:space="preserve">it was not okay to have it affect </w:t>
      </w:r>
      <w:r w:rsidRPr="0052255D" w:rsidR="009A33D9">
        <w:t>a juror’s</w:t>
      </w:r>
      <w:r w:rsidRPr="0052255D" w:rsidR="009C4523">
        <w:t xml:space="preserve"> decision in the guilt phase.  </w:t>
      </w:r>
      <w:r w:rsidRPr="0052255D" w:rsidR="002A0B57">
        <w:t xml:space="preserve">Prospective Juror </w:t>
      </w:r>
      <w:r w:rsidRPr="0052255D" w:rsidR="002D1BC1">
        <w:t xml:space="preserve">No. 259 </w:t>
      </w:r>
      <w:r w:rsidRPr="0052255D" w:rsidR="005F2B88">
        <w:t>replied, “I could do that</w:t>
      </w:r>
      <w:r w:rsidRPr="0052255D" w:rsidR="001769F7">
        <w:t xml:space="preserve">, </w:t>
      </w:r>
      <w:r w:rsidRPr="0052255D" w:rsidR="002A0B57">
        <w:t xml:space="preserve">but </w:t>
      </w:r>
      <w:r w:rsidRPr="0052255D" w:rsidR="001769F7">
        <w:t>it’s going</w:t>
      </w:r>
      <w:r w:rsidR="00A21F2D">
        <w:t> </w:t>
      </w:r>
      <w:r w:rsidRPr="0052255D" w:rsidR="001769F7">
        <w:t>— going to</w:t>
      </w:r>
      <w:r w:rsidR="00A21F2D">
        <w:t> </w:t>
      </w:r>
      <w:r w:rsidRPr="0052255D" w:rsidR="001769F7">
        <w:t>— it’s</w:t>
      </w:r>
      <w:r w:rsidRPr="0052255D" w:rsidR="002A0B57">
        <w:t xml:space="preserve"> going to be very hard</w:t>
      </w:r>
      <w:r w:rsidRPr="0052255D" w:rsidR="001769F7">
        <w:t>.</w:t>
      </w:r>
      <w:r w:rsidRPr="0052255D" w:rsidR="002A0B57">
        <w:t>”</w:t>
      </w:r>
      <w:r w:rsidRPr="0052255D" w:rsidR="001769F7">
        <w:t xml:space="preserve">  She </w:t>
      </w:r>
      <w:r w:rsidRPr="0052255D" w:rsidR="00A65F20">
        <w:t xml:space="preserve">reiterated:  “It’s something I don’t want to do.  I can do it.  I’ve been in trials before where I had to take the facts, but it’s going to be very hard.”      </w:t>
      </w:r>
    </w:p>
    <w:p w:rsidR="008A02EB" w:rsidRPr="0052255D" w:rsidP="0052255D">
      <w:pPr>
        <w:tabs>
          <w:tab w:val="left" w:pos="1440"/>
        </w:tabs>
        <w:ind w:firstLine="720"/>
      </w:pPr>
      <w:r w:rsidRPr="0052255D">
        <w:t>T</w:t>
      </w:r>
      <w:r w:rsidRPr="0052255D" w:rsidR="001604AC">
        <w:t xml:space="preserve">he prosecutor </w:t>
      </w:r>
      <w:r w:rsidRPr="0052255D">
        <w:t>then questioned</w:t>
      </w:r>
      <w:r w:rsidRPr="0052255D" w:rsidR="0039000D">
        <w:t xml:space="preserve"> Prospective Juror No.</w:t>
      </w:r>
      <w:r w:rsidR="000876ED">
        <w:t> </w:t>
      </w:r>
      <w:r w:rsidRPr="0052255D" w:rsidR="0039000D">
        <w:t>25</w:t>
      </w:r>
      <w:r w:rsidRPr="0052255D">
        <w:t xml:space="preserve">9 </w:t>
      </w:r>
      <w:r w:rsidRPr="0052255D" w:rsidR="00CE57B1">
        <w:t>about</w:t>
      </w:r>
      <w:r w:rsidRPr="0052255D">
        <w:t xml:space="preserve"> her</w:t>
      </w:r>
      <w:r w:rsidRPr="0052255D" w:rsidR="0039000D">
        <w:t xml:space="preserve"> </w:t>
      </w:r>
      <w:r w:rsidRPr="0052255D" w:rsidR="001E26E0">
        <w:t xml:space="preserve">prior </w:t>
      </w:r>
      <w:r w:rsidRPr="0052255D" w:rsidR="0039000D">
        <w:t xml:space="preserve">comment </w:t>
      </w:r>
      <w:r w:rsidRPr="0052255D">
        <w:t>that she hoped there would be insufficient evidence at the guilt phase.</w:t>
      </w:r>
      <w:r w:rsidRPr="0052255D" w:rsidR="007F66A1">
        <w:t xml:space="preserve"> </w:t>
      </w:r>
      <w:r w:rsidRPr="0052255D" w:rsidR="00323309">
        <w:t>Prospective Juror No.</w:t>
      </w:r>
      <w:r w:rsidR="000876ED">
        <w:t> </w:t>
      </w:r>
      <w:r w:rsidRPr="0052255D" w:rsidR="00323309">
        <w:t xml:space="preserve">259 </w:t>
      </w:r>
      <w:r w:rsidRPr="0052255D" w:rsidR="001E26E0">
        <w:t xml:space="preserve">acknowledged that she had said that.  She </w:t>
      </w:r>
      <w:r w:rsidRPr="0052255D" w:rsidR="00323309">
        <w:t>reiterated that she did not want to get to</w:t>
      </w:r>
      <w:r w:rsidRPr="0052255D" w:rsidR="00BC259E">
        <w:t xml:space="preserve"> the penalty phase and </w:t>
      </w:r>
      <w:r w:rsidRPr="0052255D" w:rsidR="00F83BBC">
        <w:t>hoped</w:t>
      </w:r>
      <w:r w:rsidRPr="0052255D" w:rsidR="008503BE">
        <w:t xml:space="preserve"> </w:t>
      </w:r>
      <w:r w:rsidRPr="0052255D" w:rsidR="00BC259E">
        <w:t xml:space="preserve">the prosecutor did not have enough evidence.  </w:t>
      </w:r>
      <w:r w:rsidRPr="0052255D" w:rsidR="00052913">
        <w:t>She added: “If you have enough to convince me, I don’t mind getting to the second phase.  But, you know, if you’re asking me how do I feel about the second phase, I</w:t>
      </w:r>
      <w:r w:rsidRPr="0052255D" w:rsidR="00BE6870">
        <w:t> </w:t>
      </w:r>
      <w:r w:rsidRPr="0052255D" w:rsidR="00052913">
        <w:t xml:space="preserve">don’t want to get to the second phase if at all possible.”  </w:t>
      </w:r>
      <w:r w:rsidRPr="0052255D" w:rsidR="0027011C">
        <w:t>She stated</w:t>
      </w:r>
      <w:r w:rsidRPr="0052255D" w:rsidR="006C0AC3">
        <w:t xml:space="preserve"> that she understood </w:t>
      </w:r>
      <w:r w:rsidRPr="0052255D" w:rsidR="00656AEB">
        <w:t xml:space="preserve">the prosecutor’s </w:t>
      </w:r>
      <w:r w:rsidRPr="0052255D" w:rsidR="00026472">
        <w:t xml:space="preserve">cause for </w:t>
      </w:r>
      <w:r w:rsidRPr="0052255D" w:rsidR="00656AEB">
        <w:t xml:space="preserve">concern, but </w:t>
      </w:r>
      <w:r w:rsidRPr="0052255D" w:rsidR="00026472">
        <w:t>explained</w:t>
      </w:r>
      <w:r w:rsidRPr="0052255D" w:rsidR="00C77B97">
        <w:t>,</w:t>
      </w:r>
      <w:r w:rsidRPr="0052255D" w:rsidR="00656AEB">
        <w:t xml:space="preserve"> </w:t>
      </w:r>
      <w:r w:rsidRPr="0052255D" w:rsidR="00B66F1C">
        <w:t>“I</w:t>
      </w:r>
      <w:r w:rsidRPr="0052255D" w:rsidR="009C636E">
        <w:t> </w:t>
      </w:r>
      <w:r w:rsidRPr="0052255D" w:rsidR="00B66F1C">
        <w:t xml:space="preserve">actually think you have the bigger burden than the other two lawyers.  </w:t>
      </w:r>
      <w:r w:rsidRPr="0052255D" w:rsidR="00045AF6">
        <w:t>Because I</w:t>
      </w:r>
      <w:r w:rsidRPr="0052255D" w:rsidR="00BE6870">
        <w:t> </w:t>
      </w:r>
      <w:r w:rsidRPr="0052255D" w:rsidR="00045AF6">
        <w:t>actually see them as innocent and I actually think you have a bigger burden to tell me what you believe to make them guilty.  And that’s why I say</w:t>
      </w:r>
      <w:r w:rsidRPr="0052255D" w:rsidR="006A679E">
        <w:t>,</w:t>
      </w:r>
      <w:r w:rsidRPr="0052255D" w:rsidR="00045AF6">
        <w:t xml:space="preserve"> yeah, yeah, </w:t>
      </w:r>
      <w:r w:rsidRPr="0052255D" w:rsidR="006A679E">
        <w:t>well, you’re right.  I am pulling for them.</w:t>
      </w:r>
      <w:r w:rsidRPr="0052255D" w:rsidR="00C63D3F">
        <w:t xml:space="preserve">”  She </w:t>
      </w:r>
      <w:r w:rsidRPr="0052255D" w:rsidR="00B004D1">
        <w:t>added:  “I’ll tell you right now.  Because I don’t want to get to the second phase.  I don’t</w:t>
      </w:r>
      <w:r w:rsidRPr="0052255D" w:rsidR="00C63D3F">
        <w:t>.</w:t>
      </w:r>
      <w:r w:rsidRPr="0052255D" w:rsidR="00BE4DB3">
        <w:t>”</w:t>
      </w:r>
      <w:r w:rsidRPr="0052255D" w:rsidR="00C63D3F">
        <w:t xml:space="preserve">  </w:t>
      </w:r>
      <w:r w:rsidRPr="0052255D" w:rsidR="009124A7">
        <w:t>The prosecutor asked, “</w:t>
      </w:r>
      <w:r w:rsidRPr="0052255D" w:rsidR="006A679E">
        <w:t>Because of the way you feel, do you think that would substantially impair your ability to render</w:t>
      </w:r>
      <w:r w:rsidR="00C9775E">
        <w:t> </w:t>
      </w:r>
      <w:r w:rsidRPr="0052255D" w:rsidR="006A679E">
        <w:t>— I use this term that</w:t>
      </w:r>
      <w:r w:rsidR="00C9775E">
        <w:t> </w:t>
      </w:r>
      <w:r w:rsidRPr="0052255D" w:rsidR="006A679E">
        <w:t xml:space="preserve">— everybody says </w:t>
      </w:r>
      <w:r w:rsidRPr="0052255D" w:rsidR="00593609">
        <w:t>‘</w:t>
      </w:r>
      <w:r w:rsidRPr="0052255D" w:rsidR="006A679E">
        <w:t>I don’t want to say I’m unfair,</w:t>
      </w:r>
      <w:r w:rsidRPr="0052255D" w:rsidR="00593609">
        <w:t>’</w:t>
      </w:r>
      <w:r w:rsidRPr="0052255D" w:rsidR="006A679E">
        <w:t xml:space="preserve"> but do you think it would substantially impair your ability to render a fair verdict, either at the guilt or the penalty phase?</w:t>
      </w:r>
      <w:r w:rsidRPr="0052255D" w:rsidR="00593609">
        <w:t>”</w:t>
      </w:r>
      <w:r w:rsidR="009E0C51">
        <w:t xml:space="preserve"> </w:t>
      </w:r>
      <w:r w:rsidRPr="0052255D" w:rsidR="00593609">
        <w:t xml:space="preserve"> </w:t>
      </w:r>
      <w:r w:rsidRPr="0052255D">
        <w:t xml:space="preserve">Prospective Juror </w:t>
      </w:r>
      <w:r w:rsidRPr="0052255D" w:rsidR="002D1BC1">
        <w:t>No. 259</w:t>
      </w:r>
      <w:r w:rsidRPr="0052255D" w:rsidR="00593609">
        <w:t xml:space="preserve"> responded, “</w:t>
      </w:r>
      <w:r w:rsidRPr="0052255D" w:rsidR="00181191">
        <w:t>Yes.</w:t>
      </w:r>
      <w:r w:rsidRPr="0052255D" w:rsidR="00593609">
        <w:t xml:space="preserve">”  </w:t>
      </w:r>
    </w:p>
    <w:p w:rsidR="00F01F7C" w:rsidRPr="0052255D" w:rsidP="0052255D">
      <w:pPr>
        <w:tabs>
          <w:tab w:val="left" w:pos="1440"/>
        </w:tabs>
        <w:ind w:firstLine="720"/>
      </w:pPr>
      <w:r w:rsidRPr="0052255D">
        <w:t xml:space="preserve">The trial court granted the prosecutor’s request to excuse Prospective </w:t>
      </w:r>
      <w:r w:rsidRPr="0052255D" w:rsidR="006A2D2F">
        <w:t xml:space="preserve">Juror </w:t>
      </w:r>
      <w:r w:rsidRPr="0052255D" w:rsidR="002D1BC1">
        <w:t xml:space="preserve">No. 259 </w:t>
      </w:r>
      <w:r w:rsidRPr="0052255D">
        <w:t xml:space="preserve">for cause.  </w:t>
      </w:r>
      <w:r w:rsidRPr="0052255D" w:rsidR="002D1BC1">
        <w:t xml:space="preserve">The court </w:t>
      </w:r>
      <w:r w:rsidRPr="0052255D" w:rsidR="00E416ED">
        <w:t>note</w:t>
      </w:r>
      <w:r w:rsidRPr="0052255D" w:rsidR="002D1BC1">
        <w:t>d</w:t>
      </w:r>
      <w:r w:rsidRPr="0052255D" w:rsidR="006A2D2F">
        <w:t xml:space="preserve"> that she </w:t>
      </w:r>
      <w:r w:rsidRPr="0052255D" w:rsidR="00B5377C">
        <w:t xml:space="preserve">had </w:t>
      </w:r>
      <w:r w:rsidRPr="0052255D" w:rsidR="006A2D2F">
        <w:t xml:space="preserve">equivocated in her questionnaire when she stated that she </w:t>
      </w:r>
      <w:r w:rsidRPr="0052255D" w:rsidR="00BF12E0">
        <w:t>“</w:t>
      </w:r>
      <w:r w:rsidRPr="0052255D" w:rsidR="006A2D2F">
        <w:t>would have to be sure that the death penalty serves a purpose</w:t>
      </w:r>
      <w:r w:rsidRPr="0052255D" w:rsidR="00BF12E0">
        <w:t>” and “life is too precious for a chosen few to take it away.</w:t>
      </w:r>
      <w:r w:rsidRPr="0052255D" w:rsidR="00747C65">
        <w:t xml:space="preserve">”  The court also </w:t>
      </w:r>
      <w:r w:rsidRPr="0052255D" w:rsidR="000F7724">
        <w:t xml:space="preserve">pointed to </w:t>
      </w:r>
      <w:r w:rsidRPr="0052255D" w:rsidR="00DD3CDC">
        <w:t>her</w:t>
      </w:r>
      <w:r w:rsidRPr="0052255D" w:rsidR="000F7724">
        <w:t xml:space="preserve"> statement in court that she would be pulling for the defense and </w:t>
      </w:r>
      <w:r w:rsidRPr="0052255D" w:rsidR="00DD3CDC">
        <w:t>subsequent admission</w:t>
      </w:r>
      <w:r w:rsidRPr="0052255D" w:rsidR="000F7724">
        <w:t xml:space="preserve"> that this would substantially impair her ability to return a death verdict.  </w:t>
      </w:r>
    </w:p>
    <w:p w:rsidR="00B363DD" w:rsidRPr="0052255D" w:rsidP="0052255D">
      <w:pPr>
        <w:tabs>
          <w:tab w:val="left" w:pos="1440"/>
        </w:tabs>
        <w:ind w:firstLine="720"/>
      </w:pPr>
      <w:r w:rsidRPr="0052255D">
        <w:t>Viewed as a whole</w:t>
      </w:r>
      <w:r w:rsidRPr="0052255D">
        <w:t xml:space="preserve">, </w:t>
      </w:r>
      <w:r w:rsidRPr="0052255D" w:rsidR="006E16BC">
        <w:t xml:space="preserve">Prospective Juror No. 259’s </w:t>
      </w:r>
      <w:r w:rsidRPr="0052255D" w:rsidR="008574BB">
        <w:t xml:space="preserve">written </w:t>
      </w:r>
      <w:r w:rsidRPr="0052255D" w:rsidR="00F05CCA">
        <w:t>and oral responses</w:t>
      </w:r>
      <w:r w:rsidRPr="0052255D" w:rsidR="006E16BC">
        <w:t xml:space="preserve"> </w:t>
      </w:r>
      <w:r w:rsidRPr="0052255D" w:rsidR="008435A0">
        <w:t>to questions regarding her ability to impose</w:t>
      </w:r>
      <w:r w:rsidRPr="0052255D" w:rsidR="006E16BC">
        <w:t xml:space="preserve"> </w:t>
      </w:r>
      <w:r w:rsidRPr="0052255D" w:rsidR="00255FF4">
        <w:t>the death penalty in this case</w:t>
      </w:r>
      <w:r w:rsidRPr="0052255D" w:rsidR="008435A0">
        <w:t xml:space="preserve"> </w:t>
      </w:r>
      <w:r w:rsidRPr="0052255D" w:rsidR="00DB1792">
        <w:t xml:space="preserve">demonstrated a potential bias.  </w:t>
      </w:r>
      <w:r w:rsidRPr="0052255D" w:rsidR="00CE3601">
        <w:t>She a</w:t>
      </w:r>
      <w:r w:rsidRPr="0052255D" w:rsidR="00C77B97">
        <w:t>cknowledged</w:t>
      </w:r>
      <w:r w:rsidRPr="0052255D" w:rsidR="00927CF9">
        <w:t xml:space="preserve"> several times</w:t>
      </w:r>
      <w:r w:rsidRPr="0052255D" w:rsidR="00CE3601">
        <w:t xml:space="preserve"> that </w:t>
      </w:r>
      <w:r w:rsidRPr="0052255D" w:rsidR="003A504E">
        <w:t xml:space="preserve">she was uncomfortable </w:t>
      </w:r>
      <w:r w:rsidRPr="0052255D" w:rsidR="00F17606">
        <w:t xml:space="preserve">after </w:t>
      </w:r>
      <w:r w:rsidRPr="0052255D" w:rsidR="00FF0604">
        <w:t xml:space="preserve">seeing how young </w:t>
      </w:r>
      <w:r w:rsidRPr="0052255D" w:rsidR="003A504E">
        <w:t xml:space="preserve">the </w:t>
      </w:r>
      <w:r w:rsidRPr="0052255D" w:rsidR="00FF0604">
        <w:t xml:space="preserve">defendants were </w:t>
      </w:r>
      <w:r w:rsidRPr="0052255D" w:rsidR="001859F2">
        <w:t>in this case</w:t>
      </w:r>
      <w:r w:rsidRPr="0052255D" w:rsidR="003A504E">
        <w:t xml:space="preserve">, and that </w:t>
      </w:r>
      <w:r w:rsidRPr="0052255D" w:rsidR="00F17606">
        <w:t xml:space="preserve">their age </w:t>
      </w:r>
      <w:r w:rsidRPr="0052255D" w:rsidR="00881ABB">
        <w:t xml:space="preserve">might </w:t>
      </w:r>
      <w:r w:rsidRPr="0052255D" w:rsidR="001859F2">
        <w:t>taint her view</w:t>
      </w:r>
      <w:r w:rsidRPr="0052255D" w:rsidR="0037531A">
        <w:t xml:space="preserve"> and </w:t>
      </w:r>
      <w:r w:rsidRPr="0052255D" w:rsidR="00B445A4">
        <w:t>render he</w:t>
      </w:r>
      <w:r w:rsidRPr="0052255D" w:rsidR="00C661AB">
        <w:t>r</w:t>
      </w:r>
      <w:r w:rsidRPr="0052255D" w:rsidR="00B445A4">
        <w:t xml:space="preserve"> biased toward the defense</w:t>
      </w:r>
      <w:r w:rsidRPr="0052255D" w:rsidR="0037531A">
        <w:t xml:space="preserve">.  She </w:t>
      </w:r>
      <w:r w:rsidRPr="0052255D" w:rsidR="00C77B97">
        <w:t>repeatedly and candidly</w:t>
      </w:r>
      <w:r w:rsidRPr="0052255D" w:rsidR="003B685B">
        <w:t xml:space="preserve"> </w:t>
      </w:r>
      <w:r w:rsidRPr="0052255D" w:rsidR="00C77B97">
        <w:t xml:space="preserve">admitted </w:t>
      </w:r>
      <w:r w:rsidRPr="0052255D" w:rsidR="003B685B">
        <w:t>that she was “pulling for”</w:t>
      </w:r>
      <w:r w:rsidRPr="0052255D" w:rsidR="001B7054">
        <w:t xml:space="preserve"> </w:t>
      </w:r>
      <w:r w:rsidRPr="0052255D" w:rsidR="003B685B">
        <w:t xml:space="preserve">defendants, </w:t>
      </w:r>
      <w:r w:rsidRPr="0052255D" w:rsidR="0062176B">
        <w:t xml:space="preserve">and at least six times stated </w:t>
      </w:r>
      <w:r w:rsidRPr="0052255D" w:rsidR="00877A63">
        <w:t xml:space="preserve">that she </w:t>
      </w:r>
      <w:r w:rsidRPr="0052255D" w:rsidR="003B685B">
        <w:t xml:space="preserve">hoped </w:t>
      </w:r>
      <w:r w:rsidRPr="0052255D" w:rsidR="00877A63">
        <w:t>the prosecutor did not have enough evidence to get to the penalty phase</w:t>
      </w:r>
      <w:r w:rsidRPr="0052255D" w:rsidR="00625A99">
        <w:t xml:space="preserve">.  </w:t>
      </w:r>
      <w:r w:rsidRPr="0052255D" w:rsidR="00663AFF">
        <w:t>Above all else</w:t>
      </w:r>
      <w:r w:rsidRPr="0052255D" w:rsidR="00844F90">
        <w:t xml:space="preserve">, she </w:t>
      </w:r>
      <w:r w:rsidRPr="0052255D" w:rsidR="007F154C">
        <w:t xml:space="preserve">ultimately </w:t>
      </w:r>
      <w:r w:rsidRPr="0052255D" w:rsidR="004F5810">
        <w:t>admitted</w:t>
      </w:r>
      <w:r w:rsidRPr="0052255D" w:rsidR="00844F90">
        <w:t xml:space="preserve"> that her views would substantially impair her ability to render a fair verdict, either at the guilt or penalty phase</w:t>
      </w:r>
      <w:r w:rsidRPr="0052255D" w:rsidR="00622230">
        <w:t xml:space="preserve">. </w:t>
      </w:r>
      <w:r w:rsidRPr="0052255D" w:rsidR="00844F90">
        <w:t xml:space="preserve"> </w:t>
      </w:r>
      <w:r w:rsidRPr="0052255D" w:rsidR="007573C8">
        <w:t>W</w:t>
      </w:r>
      <w:r w:rsidRPr="0052255D" w:rsidR="002D3A59">
        <w:t xml:space="preserve">e conclude the trial court acted well within its discretion in excusing </w:t>
      </w:r>
      <w:r w:rsidRPr="0052255D" w:rsidR="004F5FB5">
        <w:t>Prospective Juror No. 259</w:t>
      </w:r>
      <w:r w:rsidRPr="0052255D" w:rsidR="006E16BC">
        <w:t>.</w:t>
      </w:r>
      <w:r w:rsidRPr="0052255D" w:rsidR="002F706D">
        <w:t xml:space="preserve">  </w:t>
      </w:r>
    </w:p>
    <w:p w:rsidR="001B2476" w:rsidRPr="0052255D" w:rsidP="0052255D">
      <w:pPr>
        <w:pStyle w:val="Heading5"/>
      </w:pPr>
      <w:bookmarkStart w:id="14" w:name="_Toc94515334"/>
      <w:r w:rsidRPr="0052255D">
        <w:t>ii</w:t>
      </w:r>
      <w:r w:rsidRPr="0052255D" w:rsidR="00BE4F76">
        <w:t xml:space="preserve">.  </w:t>
      </w:r>
      <w:r w:rsidRPr="0052255D" w:rsidR="006563A6">
        <w:t>Prospective Juror No. 190</w:t>
      </w:r>
      <w:r w:rsidRPr="0052255D" w:rsidR="00AF368F">
        <w:t xml:space="preserve"> </w:t>
      </w:r>
      <w:bookmarkEnd w:id="14"/>
    </w:p>
    <w:p w:rsidR="007369D3" w:rsidRPr="0052255D" w:rsidP="0052255D">
      <w:pPr>
        <w:tabs>
          <w:tab w:val="left" w:pos="1440"/>
        </w:tabs>
        <w:ind w:firstLine="720"/>
      </w:pPr>
      <w:r w:rsidRPr="0052255D">
        <w:t xml:space="preserve">Prospective Juror </w:t>
      </w:r>
      <w:r w:rsidRPr="0052255D" w:rsidR="002D1BC1">
        <w:t>No. 190</w:t>
      </w:r>
      <w:r w:rsidRPr="0052255D">
        <w:t xml:space="preserve">’s questionnaire </w:t>
      </w:r>
      <w:r w:rsidRPr="0052255D" w:rsidR="00573533">
        <w:t xml:space="preserve">responses </w:t>
      </w:r>
      <w:r w:rsidRPr="0052255D" w:rsidR="00B53813">
        <w:t>reflected doubt about her ability to vote for the death penalty</w:t>
      </w:r>
      <w:r w:rsidRPr="0052255D">
        <w:t>.</w:t>
      </w:r>
      <w:r w:rsidRPr="0052255D" w:rsidR="000B296C">
        <w:t xml:space="preserve">  </w:t>
      </w:r>
      <w:r w:rsidRPr="0052255D" w:rsidR="00AC2D1E">
        <w:t>She</w:t>
      </w:r>
      <w:r w:rsidRPr="0052255D" w:rsidR="004E6E55">
        <w:t xml:space="preserve"> </w:t>
      </w:r>
      <w:r w:rsidRPr="0052255D" w:rsidR="00AC2D1E">
        <w:t>wrote that</w:t>
      </w:r>
      <w:r w:rsidRPr="0052255D" w:rsidR="004E6E55">
        <w:t xml:space="preserve"> she has “much ambivalence about the death penalty” and she “[h]ate[s] the death penalty.”  </w:t>
      </w:r>
      <w:r w:rsidRPr="0052255D" w:rsidR="00B14270">
        <w:t xml:space="preserve">When asked </w:t>
      </w:r>
      <w:r w:rsidRPr="0052255D" w:rsidR="002078CB">
        <w:t>whether she would make</w:t>
      </w:r>
      <w:r w:rsidRPr="0052255D" w:rsidR="00B14270">
        <w:t xml:space="preserve"> any changes </w:t>
      </w:r>
      <w:r w:rsidRPr="0052255D" w:rsidR="00934A0B">
        <w:t xml:space="preserve">to the criminal justice system, </w:t>
      </w:r>
      <w:r w:rsidRPr="0052255D" w:rsidR="00AD3354">
        <w:t xml:space="preserve">Prospective </w:t>
      </w:r>
      <w:r w:rsidRPr="0052255D" w:rsidR="00934A0B">
        <w:t xml:space="preserve">Juror </w:t>
      </w:r>
      <w:r w:rsidRPr="0052255D" w:rsidR="002D1BC1">
        <w:t xml:space="preserve">No. 190 </w:t>
      </w:r>
      <w:r w:rsidRPr="0052255D" w:rsidR="00934A0B">
        <w:t xml:space="preserve">wrote </w:t>
      </w:r>
      <w:r w:rsidRPr="0052255D" w:rsidR="00011C20">
        <w:t xml:space="preserve">that she would </w:t>
      </w:r>
      <w:r w:rsidRPr="0052255D" w:rsidR="00934A0B">
        <w:t>“eliminate death penalty</w:t>
      </w:r>
      <w:r w:rsidR="00700542">
        <w:t> </w:t>
      </w:r>
      <w:r w:rsidRPr="0052255D" w:rsidR="00934A0B">
        <w:t xml:space="preserve">— speed up system.”  </w:t>
      </w:r>
      <w:r w:rsidRPr="0052255D" w:rsidR="00C63971">
        <w:t xml:space="preserve">In response to a question regarding whether </w:t>
      </w:r>
      <w:r w:rsidRPr="0052255D" w:rsidR="005A0DC5">
        <w:t xml:space="preserve">she </w:t>
      </w:r>
      <w:r w:rsidRPr="0052255D" w:rsidR="00C63971">
        <w:t xml:space="preserve">would like to bring </w:t>
      </w:r>
      <w:r w:rsidRPr="0052255D" w:rsidR="005A0DC5">
        <w:t xml:space="preserve">anything </w:t>
      </w:r>
      <w:r w:rsidRPr="0052255D" w:rsidR="00C63971">
        <w:t xml:space="preserve">to the court’s attention that might affect her ability to be a fair and impartial juror in this case, </w:t>
      </w:r>
      <w:r w:rsidRPr="0052255D" w:rsidR="00AD3354">
        <w:t xml:space="preserve">Prospective </w:t>
      </w:r>
      <w:r w:rsidRPr="0052255D" w:rsidR="00C63971">
        <w:t xml:space="preserve">Juror </w:t>
      </w:r>
      <w:r w:rsidRPr="0052255D" w:rsidR="002D1BC1">
        <w:t>No. 190</w:t>
      </w:r>
      <w:r w:rsidRPr="0052255D" w:rsidR="00C63971">
        <w:t xml:space="preserve"> </w:t>
      </w:r>
      <w:r w:rsidRPr="0052255D" w:rsidR="00721744">
        <w:t>wrote</w:t>
      </w:r>
      <w:r w:rsidRPr="0052255D" w:rsidR="00244F3A">
        <w:t>:  “Though I am not</w:t>
      </w:r>
      <w:r w:rsidRPr="0052255D" w:rsidR="00FC2EB0">
        <w:t xml:space="preserve"> </w:t>
      </w:r>
      <w:r w:rsidRPr="0052255D" w:rsidR="00244F3A">
        <w:t>morally opposed to the death penalty, I</w:t>
      </w:r>
      <w:r w:rsidRPr="0052255D" w:rsidR="00B72B41">
        <w:t> </w:t>
      </w:r>
      <w:r w:rsidRPr="0052255D" w:rsidR="00244F3A">
        <w:t xml:space="preserve">would not vote for it because </w:t>
      </w:r>
      <w:r w:rsidRPr="0052255D" w:rsidR="00FC2EB0">
        <w:t xml:space="preserve">if a mistake it couldn’t be undone.”  </w:t>
      </w:r>
      <w:r w:rsidRPr="0052255D" w:rsidR="002D7236">
        <w:t xml:space="preserve">She </w:t>
      </w:r>
      <w:r w:rsidRPr="0052255D" w:rsidR="009434CD">
        <w:t xml:space="preserve">added </w:t>
      </w:r>
      <w:r w:rsidRPr="0052255D" w:rsidR="00A97138">
        <w:t xml:space="preserve">that she “formerly considered the death penalty immoral, but now just am concerned because human error might cause a wrong decision.”  </w:t>
      </w:r>
      <w:r w:rsidRPr="0052255D" w:rsidR="006815D9">
        <w:t xml:space="preserve">She </w:t>
      </w:r>
      <w:r w:rsidRPr="0052255D" w:rsidR="00D727A0">
        <w:t xml:space="preserve">also </w:t>
      </w:r>
      <w:r w:rsidRPr="0052255D" w:rsidR="00F61489">
        <w:t xml:space="preserve">wrote that </w:t>
      </w:r>
      <w:r w:rsidRPr="0052255D" w:rsidR="00A8759B">
        <w:t>she was</w:t>
      </w:r>
      <w:r w:rsidRPr="0052255D" w:rsidR="00D727A0">
        <w:t xml:space="preserve"> </w:t>
      </w:r>
      <w:r w:rsidRPr="0052255D" w:rsidR="006815D9">
        <w:t>“</w:t>
      </w:r>
      <w:r w:rsidRPr="0052255D" w:rsidR="00A8759B">
        <w:t xml:space="preserve">not sure it </w:t>
      </w:r>
      <w:r w:rsidRPr="0052255D" w:rsidR="006815D9">
        <w:t xml:space="preserve">is our right” to decide whether </w:t>
      </w:r>
      <w:r w:rsidRPr="0052255D" w:rsidR="00EC0B58">
        <w:t xml:space="preserve">defendant should receive the death penalty.  </w:t>
      </w:r>
      <w:r w:rsidRPr="0052255D" w:rsidR="008D7780">
        <w:t xml:space="preserve">However, </w:t>
      </w:r>
      <w:r w:rsidRPr="0052255D" w:rsidR="00F33F55">
        <w:t>she answered in the negative when asked whether she held an opinion concerning the death penalty that would make her automatically refuse to vote for the death penalty in any case.</w:t>
      </w:r>
      <w:r w:rsidRPr="0052255D" w:rsidR="009427B2">
        <w:t xml:space="preserve">  </w:t>
      </w:r>
      <w:r w:rsidRPr="0052255D" w:rsidR="00E738AE">
        <w:t>S</w:t>
      </w:r>
      <w:r w:rsidRPr="0052255D" w:rsidR="009427B2">
        <w:t xml:space="preserve">he also checked “Agree Somewhat” </w:t>
      </w:r>
      <w:r w:rsidRPr="0052255D" w:rsidR="00E738AE">
        <w:t>in response to the questionnaire statement “Any person who kills another should get the death penalty</w:t>
      </w:r>
      <w:r w:rsidRPr="0052255D" w:rsidR="003A01C4">
        <w:t>,</w:t>
      </w:r>
      <w:r w:rsidRPr="0052255D" w:rsidR="00E738AE">
        <w:t xml:space="preserve">” </w:t>
      </w:r>
      <w:r w:rsidRPr="0052255D" w:rsidR="003A01C4">
        <w:t>adding</w:t>
      </w:r>
      <w:r w:rsidRPr="0052255D" w:rsidR="00E738AE">
        <w:t xml:space="preserve"> </w:t>
      </w:r>
      <w:r w:rsidRPr="0052255D" w:rsidR="00790CD7">
        <w:t xml:space="preserve">that although she was “scared to make a mistake, sometimes it is the only answer.”  </w:t>
      </w:r>
      <w:r w:rsidRPr="0052255D" w:rsidR="00516050">
        <w:t xml:space="preserve">She </w:t>
      </w:r>
      <w:r w:rsidRPr="0052255D" w:rsidR="003A01C4">
        <w:t>further</w:t>
      </w:r>
      <w:r w:rsidRPr="0052255D" w:rsidR="00516050">
        <w:t xml:space="preserve"> indicated that she could set aside her personal feelings regarding what the law ought to be and follow the law as the court explains it</w:t>
      </w:r>
      <w:r w:rsidRPr="0052255D" w:rsidR="00282E6A">
        <w:t xml:space="preserve"> to her.  </w:t>
      </w:r>
    </w:p>
    <w:p w:rsidR="004E34A4" w:rsidRPr="0052255D" w:rsidP="0052255D">
      <w:pPr>
        <w:tabs>
          <w:tab w:val="left" w:pos="1440"/>
        </w:tabs>
        <w:ind w:firstLine="720"/>
        <w:rPr>
          <w:color w:val="000000" w:themeColor="text1"/>
        </w:rPr>
      </w:pPr>
      <w:r w:rsidRPr="0052255D">
        <w:t xml:space="preserve">During voir dire, </w:t>
      </w:r>
      <w:r w:rsidRPr="0052255D" w:rsidR="00AD3354">
        <w:t xml:space="preserve">Prospective </w:t>
      </w:r>
      <w:r w:rsidRPr="0052255D">
        <w:t xml:space="preserve">Juror </w:t>
      </w:r>
      <w:r w:rsidRPr="0052255D" w:rsidR="002D1BC1">
        <w:t xml:space="preserve">No. 190 </w:t>
      </w:r>
      <w:r w:rsidRPr="0052255D" w:rsidR="00FC032C">
        <w:t>offered</w:t>
      </w:r>
      <w:r w:rsidRPr="0052255D" w:rsidR="00A61C34">
        <w:t xml:space="preserve"> </w:t>
      </w:r>
      <w:r w:rsidRPr="0052255D" w:rsidR="00FC032C">
        <w:t xml:space="preserve">that </w:t>
      </w:r>
      <w:r w:rsidRPr="0052255D" w:rsidR="00A61C34">
        <w:t xml:space="preserve">she had been </w:t>
      </w:r>
      <w:r w:rsidRPr="0052255D" w:rsidR="0079107E">
        <w:t xml:space="preserve">“reflecting” </w:t>
      </w:r>
      <w:r w:rsidRPr="0052255D" w:rsidR="00FC032C">
        <w:t>since completing the jury questionnaire</w:t>
      </w:r>
      <w:r w:rsidRPr="0052255D" w:rsidR="004B565F">
        <w:t xml:space="preserve"> and her views had changed</w:t>
      </w:r>
      <w:r w:rsidRPr="0052255D" w:rsidR="00FA3406">
        <w:t xml:space="preserve">.  She stated: </w:t>
      </w:r>
      <w:r w:rsidRPr="0052255D" w:rsidR="0079107E">
        <w:t xml:space="preserve"> “</w:t>
      </w:r>
      <w:r w:rsidRPr="0052255D" w:rsidR="00751467">
        <w:t xml:space="preserve">And </w:t>
      </w:r>
      <w:r w:rsidRPr="0052255D" w:rsidR="00FA3406">
        <w:t>I</w:t>
      </w:r>
      <w:r w:rsidR="009F3937">
        <w:t> </w:t>
      </w:r>
      <w:r w:rsidRPr="0052255D" w:rsidR="0079107E">
        <w:t>found th</w:t>
      </w:r>
      <w:r w:rsidRPr="0052255D" w:rsidR="00151BF5">
        <w:t>at I</w:t>
      </w:r>
      <w:r w:rsidR="006975FC">
        <w:t> </w:t>
      </w:r>
      <w:r w:rsidRPr="0052255D" w:rsidR="00151BF5">
        <w:t>— when I filled it out, I</w:t>
      </w:r>
      <w:r w:rsidRPr="0052255D" w:rsidR="00BE6870">
        <w:t> </w:t>
      </w:r>
      <w:r w:rsidRPr="0052255D" w:rsidR="00151BF5">
        <w:t>thought I was more anti death penalty than I actually am.  I’m coming down more in the middle.</w:t>
      </w:r>
      <w:r w:rsidR="0000455D">
        <w:t>”</w:t>
      </w:r>
      <w:r w:rsidRPr="0052255D" w:rsidR="00151BF5">
        <w:t xml:space="preserve">  </w:t>
      </w:r>
      <w:r w:rsidRPr="0052255D" w:rsidR="00B5233A">
        <w:t xml:space="preserve">She </w:t>
      </w:r>
      <w:r w:rsidRPr="0052255D" w:rsidR="00C15D58">
        <w:t>added</w:t>
      </w:r>
      <w:r w:rsidRPr="0052255D" w:rsidR="0094186F">
        <w:t>:  “Initially when I filled it out, I thought that I would favor life without parole .</w:t>
      </w:r>
      <w:r w:rsidRPr="0052255D" w:rsidR="00B77296">
        <w:t> </w:t>
      </w:r>
      <w:r w:rsidRPr="0052255D" w:rsidR="0094186F">
        <w:t>.</w:t>
      </w:r>
      <w:r w:rsidRPr="0052255D" w:rsidR="00B77296">
        <w:t> </w:t>
      </w:r>
      <w:r w:rsidRPr="0052255D" w:rsidR="0094186F">
        <w:t xml:space="preserve">. at all times or in most circumstances.  But in looking at myself, I also think that death can be a moral decision after examining what I do believe.”  </w:t>
      </w:r>
      <w:r w:rsidRPr="0052255D" w:rsidR="00D8386A">
        <w:t>She explained that she “didn’t realize that we would have set factors to consider</w:t>
      </w:r>
      <w:r w:rsidRPr="0052255D" w:rsidR="00D167EC">
        <w:t xml:space="preserve">.  And I’m grateful and relieved that we will, should we get there.”  </w:t>
      </w:r>
      <w:r w:rsidRPr="0052255D" w:rsidR="00B5233A">
        <w:t xml:space="preserve"> </w:t>
      </w:r>
      <w:r w:rsidRPr="0052255D" w:rsidR="00810F9D">
        <w:t xml:space="preserve"> </w:t>
      </w:r>
    </w:p>
    <w:p w:rsidR="001F03E4" w:rsidRPr="0052255D" w:rsidP="0052255D">
      <w:pPr>
        <w:tabs>
          <w:tab w:val="left" w:pos="1440"/>
        </w:tabs>
        <w:ind w:firstLine="720"/>
        <w:rPr>
          <w:color w:val="000000" w:themeColor="text1"/>
        </w:rPr>
      </w:pPr>
      <w:r w:rsidRPr="0052255D">
        <w:t xml:space="preserve">Prospective Juror No. 190 </w:t>
      </w:r>
      <w:r w:rsidRPr="0052255D" w:rsidR="00F61489">
        <w:t xml:space="preserve">also </w:t>
      </w:r>
      <w:r w:rsidRPr="0052255D">
        <w:t>indicated that she “ha[d] concerns looking at our system as a whole.  Whereas 12 people might find one way, the same exact case, 12 people tomorrow might find another way.  So it’s the whole system that concerns me.  In this case, I think I can focus just on this case.”  When asked to clarify, Prospective Juror No. 190 reiterated, “I just think it’s a flaw in the system.”  She later stated, “And I do have concerns about</w:t>
      </w:r>
      <w:r w:rsidR="00473414">
        <w:t> </w:t>
      </w:r>
      <w:r w:rsidRPr="0052255D">
        <w:t>— for the same reason, because the system is flawed, that a mistake might be made; but I also think that it could be certain beyond a reasonable doubt.  And I</w:t>
      </w:r>
      <w:r w:rsidRPr="0052255D" w:rsidR="00BE6870">
        <w:t> </w:t>
      </w:r>
      <w:r w:rsidRPr="0052255D">
        <w:t xml:space="preserve">could vote for the death penalty.”  </w:t>
      </w:r>
    </w:p>
    <w:p w:rsidR="001F03E4" w:rsidRPr="0052255D" w:rsidP="0052255D">
      <w:pPr>
        <w:tabs>
          <w:tab w:val="left" w:pos="1440"/>
        </w:tabs>
        <w:ind w:firstLine="720"/>
      </w:pPr>
      <w:r w:rsidRPr="0052255D">
        <w:t xml:space="preserve">Later in voir dire, the prosecutor questioned Prospective Juror No. 190 about her change in attitude regarding the death penalty.  The following colloquy occurred:  </w:t>
      </w:r>
    </w:p>
    <w:p w:rsidR="001F03E4" w:rsidRPr="0052255D" w:rsidP="0052255D">
      <w:pPr>
        <w:tabs>
          <w:tab w:val="left" w:pos="1440"/>
        </w:tabs>
        <w:ind w:firstLine="720"/>
      </w:pPr>
      <w:r>
        <w:t>“</w:t>
      </w:r>
      <w:r w:rsidRPr="0052255D">
        <w:t xml:space="preserve">[Prosecutor]:  [W]hen I see a juror who says, </w:t>
      </w:r>
      <w:r w:rsidR="000A5E8A">
        <w:t>‘</w:t>
      </w:r>
      <w:r w:rsidRPr="0052255D">
        <w:t>I could not vote for [the death penalty],</w:t>
      </w:r>
      <w:r w:rsidR="000A5E8A">
        <w:t>’</w:t>
      </w:r>
      <w:r w:rsidRPr="0052255D">
        <w:t xml:space="preserve"> and then they completely change and say, </w:t>
      </w:r>
      <w:r w:rsidR="000A5E8A">
        <w:t>‘</w:t>
      </w:r>
      <w:r w:rsidRPr="0052255D">
        <w:t>It’s moral, and I could vote for it</w:t>
      </w:r>
      <w:r w:rsidR="000A5E8A">
        <w:t>’ </w:t>
      </w:r>
      <w:r w:rsidRPr="0052255D">
        <w:t xml:space="preserve">— </w:t>
      </w:r>
    </w:p>
    <w:p w:rsidR="001F03E4" w:rsidRPr="0052255D" w:rsidP="0052255D">
      <w:pPr>
        <w:tabs>
          <w:tab w:val="left" w:pos="1440"/>
        </w:tabs>
        <w:ind w:firstLine="720"/>
      </w:pPr>
      <w:r>
        <w:t>“</w:t>
      </w:r>
      <w:r w:rsidRPr="0052255D">
        <w:t>[Prospective Juror No. 190]:  Right.</w:t>
      </w:r>
    </w:p>
    <w:p w:rsidR="001F03E4" w:rsidRPr="0052255D" w:rsidP="0052255D">
      <w:pPr>
        <w:tabs>
          <w:tab w:val="left" w:pos="1440"/>
        </w:tabs>
        <w:ind w:firstLine="720"/>
      </w:pPr>
      <w:r>
        <w:t>“</w:t>
      </w:r>
      <w:r w:rsidRPr="0052255D">
        <w:t>[Prosecutor]:</w:t>
      </w:r>
      <w:r w:rsidR="00586A9F">
        <w:t> </w:t>
      </w:r>
      <w:r w:rsidRPr="0052255D">
        <w:t>— Can you understand that I’d be concerned about that?</w:t>
      </w:r>
    </w:p>
    <w:p w:rsidR="001F03E4" w:rsidRPr="0052255D" w:rsidP="0052255D">
      <w:pPr>
        <w:tabs>
          <w:tab w:val="left" w:pos="1440"/>
        </w:tabs>
        <w:ind w:firstLine="720"/>
      </w:pPr>
      <w:r>
        <w:t>“</w:t>
      </w:r>
      <w:r w:rsidRPr="0052255D">
        <w:t>[Prospective Juror No. 190]:  Absolutely.  I can definitely understand.</w:t>
      </w:r>
    </w:p>
    <w:p w:rsidR="001F03E4" w:rsidRPr="0052255D" w:rsidP="0052255D">
      <w:pPr>
        <w:tabs>
          <w:tab w:val="left" w:pos="1440"/>
        </w:tabs>
        <w:ind w:firstLine="720"/>
      </w:pPr>
      <w:r>
        <w:t>“</w:t>
      </w:r>
      <w:r w:rsidRPr="0052255D">
        <w:t>[Prosecutor]:  What is it that you heard that hasn’t just educated you but it’s made you completely change your mind about whether you could fairly evaluate evidence and vote for a death verdict?</w:t>
      </w:r>
    </w:p>
    <w:p w:rsidR="001F03E4" w:rsidRPr="0052255D" w:rsidP="0052255D">
      <w:pPr>
        <w:tabs>
          <w:tab w:val="left" w:pos="1440"/>
        </w:tabs>
        <w:ind w:firstLine="720"/>
      </w:pPr>
      <w:r>
        <w:t>“</w:t>
      </w:r>
      <w:r w:rsidRPr="0052255D">
        <w:t>[Prospective Juror No. 190]:  When I wrote that, I’m thinking when</w:t>
      </w:r>
      <w:r>
        <w:t> </w:t>
      </w:r>
      <w:r w:rsidRPr="0052255D">
        <w:t>— especially when you’re a child.  But, as you’re growing up, even though I wake up in the morning and the news is that somebody has been put to death for a crime, I</w:t>
      </w:r>
      <w:r w:rsidRPr="0052255D" w:rsidR="00BE6870">
        <w:t> </w:t>
      </w:r>
      <w:r w:rsidRPr="0052255D">
        <w:t>just get sick.  I mean I really hate that.  And th</w:t>
      </w:r>
      <w:r w:rsidRPr="0052255D" w:rsidR="00954566">
        <w:t xml:space="preserve">e </w:t>
      </w:r>
      <w:r w:rsidRPr="0052255D">
        <w:t xml:space="preserve">thought that one person could have been put to death for a crime they didn’t commit makes me sick.  So that was what I was thinking when I wrote that.  However, </w:t>
      </w:r>
      <w:r w:rsidRPr="0052255D" w:rsidR="0025048F">
        <w:t>i</w:t>
      </w:r>
      <w:r w:rsidRPr="0052255D">
        <w:t xml:space="preserve">n my right and wrong, moral and not moral world, </w:t>
      </w:r>
      <w:r w:rsidRPr="0052255D" w:rsidR="00F67602">
        <w:t xml:space="preserve">I </w:t>
      </w:r>
      <w:r w:rsidRPr="0052255D">
        <w:t>believe that the death penalty is a valid punishment, a moral and right punishment.  Okay.  But I do have those concerns, maybe I wouldn’t be fair to you or to</w:t>
      </w:r>
      <w:r>
        <w:t> </w:t>
      </w:r>
      <w:r w:rsidRPr="0052255D">
        <w:t>— you know, if we got to the penalty phase.</w:t>
      </w:r>
    </w:p>
    <w:p w:rsidR="001F03E4" w:rsidRPr="0052255D" w:rsidP="0052255D">
      <w:pPr>
        <w:tabs>
          <w:tab w:val="left" w:pos="1440"/>
        </w:tabs>
        <w:ind w:firstLine="720"/>
      </w:pPr>
      <w:r>
        <w:t>“</w:t>
      </w:r>
      <w:r w:rsidRPr="0052255D">
        <w:t>[Prosecutor]:  Okay.</w:t>
      </w:r>
    </w:p>
    <w:p w:rsidR="001F03E4" w:rsidRPr="0052255D" w:rsidP="0052255D">
      <w:pPr>
        <w:tabs>
          <w:tab w:val="left" w:pos="1440"/>
        </w:tabs>
        <w:ind w:firstLine="720"/>
      </w:pPr>
      <w:r>
        <w:t>“</w:t>
      </w:r>
      <w:r w:rsidRPr="0052255D">
        <w:t>[Prospective Juror No. 190]:  It’s possible.</w:t>
      </w:r>
    </w:p>
    <w:p w:rsidR="001F03E4" w:rsidRPr="0052255D" w:rsidP="0052255D">
      <w:pPr>
        <w:tabs>
          <w:tab w:val="left" w:pos="1440"/>
        </w:tabs>
        <w:ind w:firstLine="720"/>
      </w:pPr>
      <w:r>
        <w:t>“</w:t>
      </w:r>
      <w:r w:rsidRPr="0052255D">
        <w:t>[Prosecutor]:  Well, that’s</w:t>
      </w:r>
      <w:r>
        <w:t> </w:t>
      </w:r>
      <w:r w:rsidRPr="0052255D">
        <w:t>— that’s the crux of where I’m going.</w:t>
      </w:r>
    </w:p>
    <w:p w:rsidR="001F03E4" w:rsidRPr="0052255D" w:rsidP="0052255D">
      <w:pPr>
        <w:tabs>
          <w:tab w:val="left" w:pos="1440"/>
        </w:tabs>
        <w:ind w:firstLine="720"/>
      </w:pPr>
      <w:r>
        <w:t>“</w:t>
      </w:r>
      <w:r w:rsidRPr="0052255D">
        <w:t>[Prospective Juror No. 190]:  Okay.</w:t>
      </w:r>
    </w:p>
    <w:p w:rsidR="001F03E4" w:rsidRPr="0052255D" w:rsidP="0052255D">
      <w:pPr>
        <w:tabs>
          <w:tab w:val="left" w:pos="1440"/>
        </w:tabs>
        <w:ind w:firstLine="720"/>
      </w:pPr>
      <w:r>
        <w:t>“</w:t>
      </w:r>
      <w:r w:rsidRPr="0052255D">
        <w:t>[Prosecutor]:  And any time I pick specific questions it’s all going to the same place ultimately.</w:t>
      </w:r>
    </w:p>
    <w:p w:rsidR="001F03E4" w:rsidRPr="0052255D" w:rsidP="0052255D">
      <w:pPr>
        <w:tabs>
          <w:tab w:val="left" w:pos="1440"/>
        </w:tabs>
        <w:ind w:firstLine="720"/>
      </w:pPr>
      <w:r>
        <w:t>“</w:t>
      </w:r>
      <w:r w:rsidRPr="0052255D">
        <w:t>[Prospective Juror No. 190]:  Okay.</w:t>
      </w:r>
    </w:p>
    <w:p w:rsidR="001F03E4" w:rsidRPr="0052255D" w:rsidP="0052255D">
      <w:pPr>
        <w:tabs>
          <w:tab w:val="left" w:pos="1440"/>
        </w:tabs>
        <w:ind w:firstLine="720"/>
      </w:pPr>
      <w:r>
        <w:t>“</w:t>
      </w:r>
      <w:r w:rsidRPr="0052255D" w:rsidR="00AA6075">
        <w:t>[</w:t>
      </w:r>
      <w:r w:rsidRPr="0052255D">
        <w:t>Prosecutor</w:t>
      </w:r>
      <w:r w:rsidRPr="0052255D" w:rsidR="00AA6075">
        <w:t>]</w:t>
      </w:r>
      <w:r w:rsidRPr="0052255D">
        <w:t>:</w:t>
      </w:r>
      <w:r w:rsidRPr="0052255D" w:rsidR="00AA6075">
        <w:t xml:space="preserve"> </w:t>
      </w:r>
      <w:r w:rsidR="00627B66">
        <w:t xml:space="preserve"> </w:t>
      </w:r>
      <w:r w:rsidRPr="0052255D">
        <w:t>So let me ask you:  You say maybe you could be fair.  I’ll use one of [defense counsel]’s phrases.</w:t>
      </w:r>
      <w:r w:rsidRPr="0052255D" w:rsidR="00305B32">
        <w:t> </w:t>
      </w:r>
      <w:r w:rsidRPr="0052255D">
        <w:t>.</w:t>
      </w:r>
      <w:r w:rsidRPr="0052255D" w:rsidR="00305B32">
        <w:t> </w:t>
      </w:r>
      <w:r w:rsidRPr="0052255D">
        <w:t>.</w:t>
      </w:r>
      <w:r w:rsidRPr="0052255D" w:rsidR="00305B32">
        <w:t> </w:t>
      </w:r>
      <w:r w:rsidRPr="0052255D">
        <w:t xml:space="preserve">. </w:t>
      </w:r>
      <w:r w:rsidRPr="0052255D" w:rsidR="00305B32">
        <w:t xml:space="preserve"> </w:t>
      </w:r>
      <w:r w:rsidRPr="0052255D">
        <w:t>Dig deep and tell me.  Could you be fair to both sides or not?  Could you</w:t>
      </w:r>
      <w:r>
        <w:t> </w:t>
      </w:r>
      <w:r w:rsidRPr="0052255D">
        <w:t xml:space="preserve">— would your beliefs substantially impair your ability to be a fair juror in this case?  </w:t>
      </w:r>
    </w:p>
    <w:p w:rsidR="00332914" w:rsidRPr="0052255D" w:rsidP="0052255D">
      <w:pPr>
        <w:tabs>
          <w:tab w:val="left" w:pos="1440"/>
        </w:tabs>
        <w:ind w:firstLine="720"/>
      </w:pPr>
      <w:r>
        <w:t>“</w:t>
      </w:r>
      <w:r w:rsidRPr="0052255D" w:rsidR="001B3409">
        <w:t>[</w:t>
      </w:r>
      <w:r w:rsidRPr="0052255D" w:rsidR="001F03E4">
        <w:t>Prospective Juror No. 190</w:t>
      </w:r>
      <w:r w:rsidRPr="0052255D" w:rsidR="00AA6075">
        <w:t xml:space="preserve">]:  </w:t>
      </w:r>
      <w:r w:rsidRPr="0052255D" w:rsidR="001F03E4">
        <w:t>No.</w:t>
      </w:r>
      <w:r>
        <w:t>”</w:t>
      </w:r>
      <w:r w:rsidRPr="0052255D" w:rsidR="001F03E4">
        <w:t xml:space="preserve">  </w:t>
      </w:r>
    </w:p>
    <w:p w:rsidR="00795902" w:rsidRPr="0052255D" w:rsidP="0052255D">
      <w:pPr>
        <w:tabs>
          <w:tab w:val="left" w:pos="1440"/>
        </w:tabs>
        <w:ind w:firstLine="720"/>
        <w:rPr>
          <w:color w:val="000000" w:themeColor="text1"/>
        </w:rPr>
      </w:pPr>
      <w:r w:rsidRPr="0052255D">
        <w:t xml:space="preserve">In response to further questioning from the prosecutor regarding her </w:t>
      </w:r>
      <w:r w:rsidRPr="0052255D" w:rsidR="00AA6075">
        <w:t>written</w:t>
      </w:r>
      <w:r w:rsidRPr="0052255D" w:rsidR="005D055F">
        <w:t xml:space="preserve"> response </w:t>
      </w:r>
      <w:r w:rsidRPr="0052255D" w:rsidR="00AA6075">
        <w:t>questioning</w:t>
      </w:r>
      <w:r w:rsidRPr="0052255D" w:rsidR="005D055F">
        <w:t xml:space="preserve"> whether it was </w:t>
      </w:r>
      <w:r w:rsidRPr="0052255D" w:rsidR="00AA6075">
        <w:t xml:space="preserve">a juror’s right to </w:t>
      </w:r>
      <w:r w:rsidRPr="0052255D" w:rsidR="005B5D2C">
        <w:t>impose the death penalty</w:t>
      </w:r>
      <w:r w:rsidRPr="0052255D">
        <w:t>, Prospective Juror No.</w:t>
      </w:r>
      <w:r w:rsidR="00C44E18">
        <w:t> </w:t>
      </w:r>
      <w:r w:rsidRPr="0052255D">
        <w:t xml:space="preserve">190 stated:  </w:t>
      </w:r>
      <w:r w:rsidRPr="0052255D" w:rsidR="001B3409">
        <w:t xml:space="preserve">“Exactly.  Exactly.  I’m not sure.”  </w:t>
      </w:r>
      <w:r w:rsidRPr="0052255D" w:rsidR="00C05AB0">
        <w:t>When t</w:t>
      </w:r>
      <w:r w:rsidRPr="0052255D" w:rsidR="00E516D1">
        <w:t xml:space="preserve">he prosecutor pointed out the inconsistency between </w:t>
      </w:r>
      <w:r w:rsidRPr="0052255D" w:rsidR="00C05AB0">
        <w:t xml:space="preserve">her written and voir dire responses, Prospective Juror No. 190 </w:t>
      </w:r>
      <w:r w:rsidRPr="0052255D" w:rsidR="00BA568F">
        <w:t>stated, “I’m not sure it’s our right to take a life, the state’s right to take a life,”</w:t>
      </w:r>
      <w:r w:rsidRPr="0052255D" w:rsidR="00C05AB0">
        <w:t xml:space="preserve"> </w:t>
      </w:r>
      <w:r w:rsidRPr="0052255D" w:rsidR="005B4257">
        <w:t>but added</w:t>
      </w:r>
      <w:r w:rsidRPr="0052255D" w:rsidR="00B1730F">
        <w:t>,</w:t>
      </w:r>
      <w:r w:rsidRPr="0052255D" w:rsidR="005B4257">
        <w:t xml:space="preserve"> “I am sure it’s right for the state to</w:t>
      </w:r>
      <w:r w:rsidR="00545320">
        <w:t> </w:t>
      </w:r>
      <w:r w:rsidRPr="0052255D" w:rsidR="005B4257">
        <w:t xml:space="preserve">— that it is okay for the state to do that.  I am sure.  I have an emotional reaction, but I’m sure that’s okay.”  </w:t>
      </w:r>
      <w:r w:rsidRPr="0052255D" w:rsidR="007449EB">
        <w:t xml:space="preserve">When the prosecutor asked her what caused her to change her mind, she responded:  </w:t>
      </w:r>
      <w:r w:rsidRPr="0052255D">
        <w:t>“</w:t>
      </w:r>
      <w:r w:rsidRPr="0052255D">
        <w:t>I’m saying in</w:t>
      </w:r>
      <w:r w:rsidR="00545320">
        <w:t> </w:t>
      </w:r>
      <w:r w:rsidRPr="0052255D">
        <w:t>— w</w:t>
      </w:r>
      <w:r w:rsidRPr="0052255D">
        <w:t>here I’m saying there is truth and there is right and there is morality, that it is moral if</w:t>
      </w:r>
      <w:r w:rsidR="00545320">
        <w:t> </w:t>
      </w:r>
      <w:r w:rsidRPr="0052255D">
        <w:t>— if it’s, you know</w:t>
      </w:r>
      <w:r w:rsidR="00545320">
        <w:t> </w:t>
      </w:r>
      <w:r w:rsidRPr="0052255D">
        <w:t>— if the truth is found, then it is moral to take a life.  However, in my emotional reaction in my everyday world and knowing that people are flawed, it would be</w:t>
      </w:r>
      <w:r w:rsidR="00545320">
        <w:t> </w:t>
      </w:r>
      <w:r w:rsidRPr="0052255D">
        <w:t>— it would be</w:t>
      </w:r>
      <w:r w:rsidR="00545320">
        <w:t> </w:t>
      </w:r>
      <w:r w:rsidRPr="0052255D">
        <w:t>— my emotional reaction is that it’s difficult.  It’s</w:t>
      </w:r>
      <w:r w:rsidR="00545320">
        <w:t> </w:t>
      </w:r>
      <w:r w:rsidRPr="0052255D">
        <w:t>— it’s</w:t>
      </w:r>
      <w:r w:rsidR="00545320">
        <w:t> </w:t>
      </w:r>
      <w:r w:rsidRPr="0052255D">
        <w:t xml:space="preserve">— if a mistake could be made it would be hard.”    </w:t>
      </w:r>
    </w:p>
    <w:p w:rsidR="009838BC" w:rsidRPr="0052255D" w:rsidP="0052255D">
      <w:pPr>
        <w:tabs>
          <w:tab w:val="left" w:pos="1440"/>
        </w:tabs>
        <w:ind w:firstLine="720"/>
      </w:pPr>
      <w:r w:rsidRPr="0052255D">
        <w:t xml:space="preserve">The prosecutor agreed that the job of a </w:t>
      </w:r>
      <w:r w:rsidRPr="0052255D" w:rsidR="00E67BBC">
        <w:t>capital juror would be very difficult, but pointed out that Prospective Juror No.</w:t>
      </w:r>
      <w:r w:rsidR="00C44E18">
        <w:t> </w:t>
      </w:r>
      <w:r w:rsidRPr="0052255D" w:rsidR="0025048F">
        <w:t>190</w:t>
      </w:r>
      <w:r w:rsidRPr="0052255D" w:rsidR="00E67BBC">
        <w:t xml:space="preserve"> wrote on her questionnaire that she hates the death penalty.  </w:t>
      </w:r>
      <w:r w:rsidRPr="0052255D" w:rsidR="004C1DBB">
        <w:t xml:space="preserve">She </w:t>
      </w:r>
      <w:r w:rsidRPr="0052255D" w:rsidR="002403D5">
        <w:t>agree</w:t>
      </w:r>
      <w:r w:rsidRPr="0052255D" w:rsidR="004C1DBB">
        <w:t xml:space="preserve">d, “I do.  I hate that we have to have it.”  The prosecutor </w:t>
      </w:r>
      <w:r w:rsidRPr="0052255D" w:rsidR="002403D5">
        <w:t xml:space="preserve">responded, “But that’s not what you wrote.”  </w:t>
      </w:r>
      <w:r w:rsidRPr="0052255D" w:rsidR="006050F6">
        <w:t xml:space="preserve">When </w:t>
      </w:r>
      <w:r w:rsidRPr="0052255D" w:rsidR="00B90324">
        <w:t xml:space="preserve">Prospective Juror No. </w:t>
      </w:r>
      <w:r w:rsidRPr="0052255D" w:rsidR="0025048F">
        <w:t>190</w:t>
      </w:r>
      <w:r w:rsidRPr="0052255D" w:rsidR="00B90324">
        <w:t xml:space="preserve"> was </w:t>
      </w:r>
      <w:r w:rsidRPr="0052255D" w:rsidR="006050F6">
        <w:t>asked whether she</w:t>
      </w:r>
      <w:r w:rsidRPr="0052255D" w:rsidR="00B90324">
        <w:t xml:space="preserve"> believed that she </w:t>
      </w:r>
      <w:r w:rsidRPr="0052255D" w:rsidR="006C2D14">
        <w:t xml:space="preserve">could </w:t>
      </w:r>
      <w:r w:rsidRPr="0052255D" w:rsidR="00B90324">
        <w:t>be fair and neutral, she responded</w:t>
      </w:r>
      <w:r w:rsidRPr="0052255D" w:rsidR="00F536CC">
        <w:t xml:space="preserve"> that she did not want to be </w:t>
      </w:r>
      <w:r w:rsidR="00ED310D">
        <w:t>here</w:t>
      </w:r>
      <w:r w:rsidRPr="0052255D" w:rsidR="00F536CC">
        <w:t xml:space="preserve"> but she believed she could be fair and neutral.</w:t>
      </w:r>
      <w:r w:rsidRPr="0052255D" w:rsidR="006050F6">
        <w:t xml:space="preserve"> </w:t>
      </w:r>
      <w:r w:rsidRPr="0052255D" w:rsidR="002403D5">
        <w:t xml:space="preserve"> </w:t>
      </w:r>
      <w:r w:rsidRPr="0052255D" w:rsidR="00F536CC">
        <w:t>When asked to confirm that she was neutral now, she</w:t>
      </w:r>
      <w:r w:rsidRPr="0052255D" w:rsidR="001F03E4">
        <w:t xml:space="preserve"> </w:t>
      </w:r>
      <w:r w:rsidRPr="0052255D" w:rsidR="00F536CC">
        <w:t>responded:  “I hate</w:t>
      </w:r>
      <w:r w:rsidRPr="0052255D" w:rsidR="001F03E4">
        <w:t xml:space="preserve"> the death penalty</w:t>
      </w:r>
      <w:r w:rsidRPr="0052255D" w:rsidR="00F536CC">
        <w:t>.  I hate the death penalty.  I hate</w:t>
      </w:r>
      <w:r w:rsidRPr="0052255D" w:rsidR="001F03E4">
        <w:t xml:space="preserve"> that we have to have the death penalty.</w:t>
      </w:r>
      <w:r w:rsidRPr="0052255D" w:rsidR="0084108A">
        <w:t> . . .</w:t>
      </w:r>
      <w:r w:rsidRPr="0052255D" w:rsidR="003926BF">
        <w:t xml:space="preserve"> </w:t>
      </w:r>
      <w:r w:rsidRPr="0052255D" w:rsidR="0084108A">
        <w:t xml:space="preserve"> But I do think I could vote on it.”</w:t>
      </w:r>
      <w:r w:rsidRPr="0052255D" w:rsidR="001F03E4">
        <w:t xml:space="preserve">    </w:t>
      </w:r>
    </w:p>
    <w:p w:rsidR="001F03E4" w:rsidRPr="0052255D" w:rsidP="0052255D">
      <w:pPr>
        <w:tabs>
          <w:tab w:val="left" w:pos="1440"/>
        </w:tabs>
        <w:ind w:firstLine="720"/>
      </w:pPr>
      <w:r w:rsidRPr="0052255D">
        <w:t xml:space="preserve">Outside the presence of the jury, </w:t>
      </w:r>
      <w:r w:rsidRPr="0052255D" w:rsidR="009838BC">
        <w:t xml:space="preserve">defense counsel expressed concern that the questioning was too </w:t>
      </w:r>
      <w:r w:rsidR="00290C1C">
        <w:t xml:space="preserve">extensive </w:t>
      </w:r>
      <w:r w:rsidRPr="0052255D" w:rsidR="009838BC">
        <w:t xml:space="preserve">and </w:t>
      </w:r>
      <w:r w:rsidR="004B357A">
        <w:t xml:space="preserve">was </w:t>
      </w:r>
      <w:r w:rsidRPr="0052255D" w:rsidR="009838BC">
        <w:t>becoming adversarial in an effort to establish cause.  T</w:t>
      </w:r>
      <w:r w:rsidRPr="0052255D">
        <w:t xml:space="preserve">he trial court </w:t>
      </w:r>
      <w:r w:rsidRPr="0052255D" w:rsidR="006F465A">
        <w:t xml:space="preserve">noted that it had granted </w:t>
      </w:r>
      <w:r w:rsidRPr="0052255D" w:rsidR="00694E22">
        <w:t>a challenge for cause raised by defense counsel</w:t>
      </w:r>
      <w:r w:rsidRPr="0052255D" w:rsidR="00236A10">
        <w:t xml:space="preserve"> the previous day due to an </w:t>
      </w:r>
      <w:r w:rsidRPr="0052255D" w:rsidR="0059068D">
        <w:t>“</w:t>
      </w:r>
      <w:r w:rsidRPr="0052255D" w:rsidR="00236A10">
        <w:t>extreme inconsistency</w:t>
      </w:r>
      <w:r w:rsidRPr="0052255D" w:rsidR="0059068D">
        <w:t>”</w:t>
      </w:r>
      <w:r w:rsidRPr="0052255D" w:rsidR="00236A10">
        <w:t xml:space="preserve"> between what a </w:t>
      </w:r>
      <w:r w:rsidRPr="0052255D" w:rsidR="00D475DD">
        <w:t xml:space="preserve">prospective </w:t>
      </w:r>
      <w:r w:rsidRPr="0052255D" w:rsidR="00236A10">
        <w:t xml:space="preserve">juror said in court and in the questionnaire, </w:t>
      </w:r>
      <w:r w:rsidRPr="0052255D">
        <w:t xml:space="preserve">and </w:t>
      </w:r>
      <w:r w:rsidRPr="0052255D" w:rsidR="004A1F25">
        <w:t xml:space="preserve">allowed </w:t>
      </w:r>
      <w:r w:rsidRPr="0052255D" w:rsidR="00B1730F">
        <w:t xml:space="preserve">the prosecutor </w:t>
      </w:r>
      <w:r w:rsidRPr="0052255D" w:rsidR="004A1F25">
        <w:t xml:space="preserve">to continue because </w:t>
      </w:r>
      <w:r w:rsidRPr="0052255D" w:rsidR="00806D91">
        <w:t>Prospective Juror No. 1</w:t>
      </w:r>
      <w:r w:rsidRPr="0052255D" w:rsidR="0025048F">
        <w:t>90</w:t>
      </w:r>
      <w:r w:rsidRPr="0052255D" w:rsidR="00806D91">
        <w:t xml:space="preserve"> </w:t>
      </w:r>
      <w:r w:rsidRPr="0052255D" w:rsidR="004A1F25">
        <w:t>was “hugely inconsistent”</w:t>
      </w:r>
      <w:r w:rsidRPr="0052255D" w:rsidR="00DA08E7">
        <w:t xml:space="preserve"> in her questionnaire responses </w:t>
      </w:r>
      <w:r w:rsidRPr="0052255D" w:rsidR="00F668A5">
        <w:t xml:space="preserve">compared with </w:t>
      </w:r>
      <w:r w:rsidRPr="0052255D" w:rsidR="00DA08E7">
        <w:t xml:space="preserve">her statements </w:t>
      </w:r>
      <w:r w:rsidRPr="0052255D" w:rsidR="0058617F">
        <w:t xml:space="preserve">during </w:t>
      </w:r>
      <w:r w:rsidRPr="0052255D" w:rsidR="00DA08E7">
        <w:t>voir dire.</w:t>
      </w:r>
      <w:r w:rsidRPr="0052255D">
        <w:t xml:space="preserve">  </w:t>
      </w:r>
    </w:p>
    <w:p w:rsidR="001F03E4" w:rsidRPr="0052255D" w:rsidP="0052255D">
      <w:pPr>
        <w:tabs>
          <w:tab w:val="left" w:pos="1440"/>
        </w:tabs>
        <w:ind w:firstLine="720"/>
      </w:pPr>
      <w:r w:rsidRPr="0052255D">
        <w:t>In response to further questioning, Prospective Juror No.</w:t>
      </w:r>
      <w:r w:rsidR="00C44E18">
        <w:t> </w:t>
      </w:r>
      <w:r w:rsidRPr="0052255D">
        <w:t xml:space="preserve">190 </w:t>
      </w:r>
      <w:r w:rsidRPr="0052255D" w:rsidR="00DF4A1F">
        <w:t xml:space="preserve">explained that </w:t>
      </w:r>
      <w:r w:rsidRPr="0052255D" w:rsidR="00DF051F">
        <w:t xml:space="preserve">she changed her mind regarding her ability vote for a death penalty </w:t>
      </w:r>
      <w:r w:rsidRPr="0052255D" w:rsidR="000774FF">
        <w:t>after learning</w:t>
      </w:r>
      <w:r w:rsidRPr="0052255D" w:rsidR="00DF051F">
        <w:t xml:space="preserve"> that she could consider aggravating and mitigating factors.  </w:t>
      </w:r>
      <w:r w:rsidRPr="0052255D" w:rsidR="00F31C83">
        <w:t xml:space="preserve">She reiterated that she would rather not have to impose the death penalty, but </w:t>
      </w:r>
      <w:r w:rsidRPr="0052255D">
        <w:t xml:space="preserve">it was her position “right now” that she </w:t>
      </w:r>
      <w:r w:rsidRPr="0052255D" w:rsidR="000733E3">
        <w:t>w</w:t>
      </w:r>
      <w:r w:rsidRPr="0052255D">
        <w:t xml:space="preserve">ould be neutral.  </w:t>
      </w:r>
      <w:r w:rsidRPr="0052255D" w:rsidR="00640289">
        <w:t>When asked whether she would be pulling for one side or the other at the beginning of the penalty phase, she responded:  “I . . . would rather not have to</w:t>
      </w:r>
      <w:r w:rsidR="003603D8">
        <w:t> </w:t>
      </w:r>
      <w:r w:rsidRPr="0052255D" w:rsidR="00640289">
        <w:t>— I think I probably would rather not have to impose the death penalty.”  The prosecutor</w:t>
      </w:r>
      <w:r w:rsidRPr="0052255D">
        <w:t xml:space="preserve"> </w:t>
      </w:r>
      <w:r w:rsidRPr="0052255D" w:rsidR="00E0736F">
        <w:t xml:space="preserve">asked </w:t>
      </w:r>
      <w:r w:rsidRPr="0052255D">
        <w:t>whether that meant she would be “pulling for the defendant, Mr.</w:t>
      </w:r>
      <w:r w:rsidR="00C44E18">
        <w:t> </w:t>
      </w:r>
      <w:r w:rsidRPr="0052255D">
        <w:t>Mataele, hoping that there would be insufficient evidence</w:t>
      </w:r>
      <w:r w:rsidRPr="0052255D" w:rsidR="004E1EA1">
        <w:t>.</w:t>
      </w:r>
      <w:r w:rsidRPr="0052255D">
        <w:t xml:space="preserve">” </w:t>
      </w:r>
      <w:r w:rsidRPr="0052255D" w:rsidR="004E1EA1">
        <w:t xml:space="preserve"> She</w:t>
      </w:r>
      <w:r w:rsidRPr="0052255D">
        <w:t xml:space="preserve"> </w:t>
      </w:r>
      <w:r w:rsidRPr="0052255D" w:rsidR="004E1EA1">
        <w:t>conceded</w:t>
      </w:r>
      <w:r w:rsidRPr="0052255D">
        <w:t>, “I probably would.  I would probably hope that I</w:t>
      </w:r>
      <w:r w:rsidR="00C44E18">
        <w:t> </w:t>
      </w:r>
      <w:r w:rsidRPr="0052255D">
        <w:t xml:space="preserve">would be able to weigh the factors honestly in favor of the defendant.” </w:t>
      </w:r>
    </w:p>
    <w:p w:rsidR="001F03E4" w:rsidRPr="0052255D" w:rsidP="0052255D">
      <w:pPr>
        <w:tabs>
          <w:tab w:val="left" w:pos="1440"/>
        </w:tabs>
        <w:ind w:firstLine="720"/>
        <w:rPr>
          <w:color w:val="000000" w:themeColor="text1"/>
        </w:rPr>
      </w:pPr>
      <w:r w:rsidRPr="0052255D">
        <w:t>The trial court granted the prosecutor’s request to excuse Prospective Juror No. 190 for cause.  The court explained:  “I</w:t>
      </w:r>
      <w:r w:rsidR="00C44E18">
        <w:t> </w:t>
      </w:r>
      <w:r w:rsidRPr="0052255D">
        <w:t xml:space="preserve">have already commented that she’s equivocal on this and hugely inconsistent, and her credibility with me in open court is shattered.  I do not believe her when she says that she could be a fair and impartial juror.  She’s all over the map.  Her statements and her </w:t>
      </w:r>
      <w:r w:rsidRPr="0052255D" w:rsidR="00C50066">
        <w:t>[jury]</w:t>
      </w:r>
      <w:r w:rsidRPr="0052255D">
        <w:t xml:space="preserve"> questionnaire are straightforward and dramatic in terms of her opposition to the death penalty and when she said she would not vote for the death penalty.  So, for all those reasons, the challenge for cause on [Prospective Juror No.] 190 is granted.”  </w:t>
      </w:r>
    </w:p>
    <w:p w:rsidR="00FD39E0" w:rsidRPr="0052255D" w:rsidP="0052255D">
      <w:pPr>
        <w:tabs>
          <w:tab w:val="left" w:pos="1440"/>
        </w:tabs>
        <w:ind w:firstLine="720"/>
      </w:pPr>
      <w:r w:rsidRPr="0052255D">
        <w:t>We</w:t>
      </w:r>
      <w:r w:rsidRPr="0052255D" w:rsidR="00C23D91">
        <w:t xml:space="preserve"> conclude that substantial evidence supports the trial court’s conclusion that Prospective Juror No. 190’s views regarding capital punishment would prevent or substantially impair the performance of her duties as a juror.  </w:t>
      </w:r>
      <w:r w:rsidRPr="0052255D" w:rsidR="00E8086E">
        <w:t>She</w:t>
      </w:r>
      <w:r w:rsidRPr="0052255D" w:rsidR="00C23D91">
        <w:t xml:space="preserve"> </w:t>
      </w:r>
      <w:r w:rsidRPr="0052255D" w:rsidR="00B43D4D">
        <w:t xml:space="preserve">indicated </w:t>
      </w:r>
      <w:r w:rsidRPr="0052255D" w:rsidR="00E8086E">
        <w:t xml:space="preserve">in her questionnaire response that </w:t>
      </w:r>
      <w:r w:rsidRPr="0052255D" w:rsidR="00F81C6F">
        <w:t xml:space="preserve">she </w:t>
      </w:r>
      <w:r w:rsidRPr="0052255D" w:rsidR="00E8086E">
        <w:t xml:space="preserve">would not vote for </w:t>
      </w:r>
      <w:r w:rsidRPr="0052255D" w:rsidR="002A02D5">
        <w:t>death</w:t>
      </w:r>
      <w:r w:rsidRPr="0052255D" w:rsidR="00E8086E">
        <w:t xml:space="preserve"> because </w:t>
      </w:r>
      <w:r w:rsidRPr="0052255D" w:rsidR="00F81C6F">
        <w:t xml:space="preserve">if it were a mistake </w:t>
      </w:r>
      <w:r w:rsidRPr="0052255D" w:rsidR="00DA71CC">
        <w:t xml:space="preserve">it could not be undone, and </w:t>
      </w:r>
      <w:r w:rsidRPr="0052255D" w:rsidR="00F81C6F">
        <w:t>expressed</w:t>
      </w:r>
      <w:r w:rsidRPr="0052255D" w:rsidR="00DA71CC">
        <w:t xml:space="preserve"> concern </w:t>
      </w:r>
      <w:r w:rsidRPr="0052255D" w:rsidR="00DD40EE">
        <w:t xml:space="preserve">that </w:t>
      </w:r>
      <w:r w:rsidRPr="0052255D" w:rsidR="00DA71CC">
        <w:t xml:space="preserve">human error could </w:t>
      </w:r>
      <w:r w:rsidRPr="0052255D" w:rsidR="00DD40EE">
        <w:t>result in</w:t>
      </w:r>
      <w:r w:rsidRPr="0052255D" w:rsidR="00DA71CC">
        <w:t xml:space="preserve"> the wrong decision</w:t>
      </w:r>
      <w:r w:rsidRPr="0052255D" w:rsidR="00F71EC4">
        <w:t>.</w:t>
      </w:r>
      <w:r w:rsidRPr="0052255D" w:rsidR="008F0089">
        <w:t xml:space="preserve">  Several times during voir dire, she </w:t>
      </w:r>
      <w:r w:rsidRPr="0052255D" w:rsidR="00CB55B0">
        <w:t>repeated her concerns regarding the possibility of a mistake being made</w:t>
      </w:r>
      <w:r w:rsidRPr="0052255D" w:rsidR="007E7906">
        <w:t xml:space="preserve"> and acknowledged that she might not be fair to the prosecutor at the penalty phase</w:t>
      </w:r>
      <w:r w:rsidRPr="0052255D" w:rsidR="004D0D4E">
        <w:t xml:space="preserve"> and that she probably would be pulling for the defendant</w:t>
      </w:r>
      <w:r w:rsidRPr="0052255D" w:rsidR="007E7906">
        <w:t>.</w:t>
      </w:r>
      <w:r w:rsidRPr="0052255D" w:rsidR="00BE3EFB">
        <w:t xml:space="preserve">  Although she also </w:t>
      </w:r>
      <w:r w:rsidRPr="0052255D" w:rsidR="000113B0">
        <w:t xml:space="preserve">stated during voir dire that she thought she could vote for the death penalty and that </w:t>
      </w:r>
      <w:r w:rsidRPr="0052255D" w:rsidR="00C7077A">
        <w:t xml:space="preserve">her views had evolved since completing the jury questionnaire, the trial court </w:t>
      </w:r>
      <w:r w:rsidRPr="0052255D" w:rsidR="00804157">
        <w:t>found her to be “hugely inconsistent”</w:t>
      </w:r>
      <w:r w:rsidRPr="0052255D" w:rsidR="006343D6">
        <w:t xml:space="preserve"> and equivocal</w:t>
      </w:r>
      <w:r w:rsidRPr="0052255D" w:rsidR="00752FB4">
        <w:t>, and stated that it did not believe her when she sa</w:t>
      </w:r>
      <w:r w:rsidRPr="0052255D" w:rsidR="005E2A1F">
        <w:t>id</w:t>
      </w:r>
      <w:r w:rsidRPr="0052255D" w:rsidR="00752FB4">
        <w:t xml:space="preserve"> that she could be a fair and impartial juror.</w:t>
      </w:r>
      <w:r w:rsidRPr="0052255D" w:rsidR="00370F3C">
        <w:t xml:space="preserve">  </w:t>
      </w:r>
    </w:p>
    <w:p w:rsidR="007139F0" w:rsidRPr="0052255D" w:rsidP="0052255D">
      <w:pPr>
        <w:tabs>
          <w:tab w:val="left" w:pos="1440"/>
        </w:tabs>
        <w:ind w:firstLine="720"/>
      </w:pPr>
      <w:r w:rsidRPr="0052255D">
        <w:t xml:space="preserve">As </w:t>
      </w:r>
      <w:r w:rsidRPr="0052255D" w:rsidR="005F2113">
        <w:t xml:space="preserve">the high court </w:t>
      </w:r>
      <w:r w:rsidRPr="0052255D" w:rsidR="003A7B03">
        <w:t xml:space="preserve">has </w:t>
      </w:r>
      <w:r w:rsidRPr="0052255D" w:rsidR="005F2113">
        <w:t xml:space="preserve">observed, “[t]he judgment as to </w:t>
      </w:r>
      <w:r w:rsidRPr="0052255D" w:rsidR="0001237B">
        <w:t>‘whether a venireman is biased</w:t>
      </w:r>
      <w:r w:rsidRPr="0052255D" w:rsidR="005E2A1F">
        <w:t xml:space="preserve"> </w:t>
      </w:r>
      <w:r w:rsidRPr="0052255D" w:rsidR="0001237B">
        <w:t xml:space="preserve">. . . is based upon determinations of demeanor and credibility </w:t>
      </w:r>
      <w:r w:rsidRPr="0052255D" w:rsidR="00CA2E8B">
        <w:t>that are peculiarly within a trial judge’s province.  Such determinations [are] entitled to deference</w:t>
      </w:r>
      <w:r w:rsidRPr="0052255D" w:rsidR="00305170">
        <w:t xml:space="preserve"> </w:t>
      </w:r>
      <w:r w:rsidRPr="0052255D" w:rsidR="00183FF7">
        <w:t xml:space="preserve">. . . </w:t>
      </w:r>
      <w:r w:rsidRPr="0052255D" w:rsidR="00CA2E8B">
        <w:t>on direct review[.]</w:t>
      </w:r>
      <w:r w:rsidRPr="0052255D" w:rsidR="00183FF7">
        <w:t>’ </w:t>
      </w:r>
      <w:r w:rsidRPr="0052255D" w:rsidR="00CA2E8B">
        <w:t>”  (</w:t>
      </w:r>
      <w:r w:rsidRPr="0052255D" w:rsidR="00CA2E8B">
        <w:rPr>
          <w:i/>
          <w:iCs/>
        </w:rPr>
        <w:t>Uttecht</w:t>
      </w:r>
      <w:r w:rsidRPr="0052255D" w:rsidR="00CA2E8B">
        <w:t xml:space="preserve">, </w:t>
      </w:r>
      <w:r w:rsidRPr="0052255D" w:rsidR="00CA2E8B">
        <w:rPr>
          <w:i/>
          <w:iCs/>
        </w:rPr>
        <w:t>supra</w:t>
      </w:r>
      <w:r w:rsidRPr="0052255D" w:rsidR="00CA2E8B">
        <w:t>, 551 U.S. at p. 7</w:t>
      </w:r>
      <w:r w:rsidRPr="0052255D" w:rsidR="00F73743">
        <w:t xml:space="preserve">.)  In </w:t>
      </w:r>
      <w:r w:rsidRPr="0052255D" w:rsidR="00F73743">
        <w:rPr>
          <w:i/>
          <w:iCs/>
        </w:rPr>
        <w:t>Witt</w:t>
      </w:r>
      <w:r w:rsidRPr="0052255D" w:rsidR="00F73743">
        <w:t xml:space="preserve">, the Supreme Court </w:t>
      </w:r>
      <w:r w:rsidRPr="0052255D" w:rsidR="00C10B6B">
        <w:t>reaffirmed</w:t>
      </w:r>
      <w:r w:rsidRPr="0052255D" w:rsidR="00F73743">
        <w:t xml:space="preserve"> that </w:t>
      </w:r>
      <w:r w:rsidRPr="0052255D" w:rsidR="002971A2">
        <w:t>“ ‘</w:t>
      </w:r>
      <w:r w:rsidR="00357B71">
        <w:t>[</w:t>
      </w:r>
      <w:r w:rsidRPr="0052255D" w:rsidR="00F73743">
        <w:t>t</w:t>
      </w:r>
      <w:r w:rsidR="00357B71">
        <w:t>]</w:t>
      </w:r>
      <w:r w:rsidRPr="0052255D" w:rsidR="002971A2">
        <w:t xml:space="preserve">he manner of the juror while testifying is oftentimes more indicative of the real character of his opinion than his words.  That is seen below, but cannot always be spread upon the record.  Care should, therefore, be taken in the reviewing court not to reverse the ruling below upon a such a question of fact, </w:t>
      </w:r>
      <w:r w:rsidR="00AE71FA">
        <w:t>except</w:t>
      </w:r>
      <w:r w:rsidRPr="0052255D" w:rsidR="00AE71FA">
        <w:t xml:space="preserve"> </w:t>
      </w:r>
      <w:r w:rsidRPr="0052255D" w:rsidR="002971A2">
        <w:t>in a clear case.</w:t>
      </w:r>
      <w:r w:rsidRPr="0052255D" w:rsidR="001F394F">
        <w:t>’ </w:t>
      </w:r>
      <w:r w:rsidRPr="0052255D" w:rsidR="002971A2">
        <w:t>”</w:t>
      </w:r>
      <w:r w:rsidRPr="0052255D" w:rsidR="00F73743">
        <w:t xml:space="preserve">  (</w:t>
      </w:r>
      <w:r w:rsidRPr="0052255D" w:rsidR="00F73743">
        <w:rPr>
          <w:i/>
          <w:iCs/>
        </w:rPr>
        <w:t>Witt</w:t>
      </w:r>
      <w:r w:rsidRPr="0052255D" w:rsidR="00F73743">
        <w:t xml:space="preserve">, </w:t>
      </w:r>
      <w:r w:rsidRPr="0052255D" w:rsidR="00F73743">
        <w:rPr>
          <w:i/>
          <w:iCs/>
        </w:rPr>
        <w:t>supra</w:t>
      </w:r>
      <w:r w:rsidRPr="0052255D" w:rsidR="00F73743">
        <w:t>, 469 U.S. at p. 428, fn. 9</w:t>
      </w:r>
      <w:r w:rsidRPr="0052255D" w:rsidR="00CA2E8B">
        <w:t>.)</w:t>
      </w:r>
      <w:r w:rsidRPr="0052255D" w:rsidR="0001237B">
        <w:t xml:space="preserve"> </w:t>
      </w:r>
      <w:r w:rsidRPr="0052255D" w:rsidR="00CA2E8B">
        <w:t xml:space="preserve"> </w:t>
      </w:r>
      <w:r w:rsidRPr="0052255D" w:rsidR="003D6D59">
        <w:t>Given</w:t>
      </w:r>
      <w:r w:rsidRPr="0052255D" w:rsidR="00CB27D9">
        <w:t xml:space="preserve"> </w:t>
      </w:r>
      <w:r w:rsidRPr="0052255D">
        <w:t>Prospective Juror N</w:t>
      </w:r>
      <w:r w:rsidRPr="0052255D" w:rsidR="00183FF7">
        <w:t>o</w:t>
      </w:r>
      <w:r w:rsidRPr="0052255D">
        <w:t>. 190’s</w:t>
      </w:r>
      <w:r w:rsidRPr="0052255D" w:rsidR="005F2113">
        <w:t xml:space="preserve"> conflicting</w:t>
      </w:r>
      <w:r w:rsidRPr="0052255D" w:rsidR="00CB27D9">
        <w:t xml:space="preserve"> responses</w:t>
      </w:r>
      <w:r w:rsidRPr="0052255D" w:rsidR="003D6D59">
        <w:t xml:space="preserve"> and the court’s </w:t>
      </w:r>
      <w:r w:rsidRPr="0052255D" w:rsidR="00B341E3">
        <w:t xml:space="preserve">determination that she was </w:t>
      </w:r>
      <w:r w:rsidRPr="0052255D" w:rsidR="00FD39E0">
        <w:t xml:space="preserve">equivocal and </w:t>
      </w:r>
      <w:r w:rsidRPr="0052255D" w:rsidR="00B341E3">
        <w:t>not credible</w:t>
      </w:r>
      <w:r w:rsidRPr="0052255D" w:rsidR="00C73DF5">
        <w:t xml:space="preserve"> when she said she could impose the death penalty</w:t>
      </w:r>
      <w:r w:rsidRPr="0052255D" w:rsidR="00CB27D9">
        <w:t>, we must defer to the trial court, which “was in the best position to determine which of these two conflicting versions represented [the prospective juror’s] true state of mind.”  (</w:t>
      </w:r>
      <w:r w:rsidRPr="0052255D" w:rsidR="00CB27D9">
        <w:rPr>
          <w:i/>
          <w:iCs/>
        </w:rPr>
        <w:t xml:space="preserve">People v. Cowan </w:t>
      </w:r>
      <w:r w:rsidRPr="0052255D" w:rsidR="00CB27D9">
        <w:t xml:space="preserve">(2010) 50 Cal.4th 401, </w:t>
      </w:r>
      <w:r w:rsidRPr="0052255D" w:rsidR="00A07699">
        <w:t>441</w:t>
      </w:r>
      <w:r w:rsidRPr="0052255D" w:rsidR="006A35F8">
        <w:t xml:space="preserve"> (</w:t>
      </w:r>
      <w:r w:rsidRPr="0052255D" w:rsidR="006A35F8">
        <w:rPr>
          <w:i/>
          <w:iCs/>
        </w:rPr>
        <w:t>Cowan</w:t>
      </w:r>
      <w:r w:rsidRPr="0052255D" w:rsidR="006A35F8">
        <w:t>)</w:t>
      </w:r>
      <w:r w:rsidRPr="0052255D" w:rsidR="00A07699">
        <w:t xml:space="preserve">; see </w:t>
      </w:r>
      <w:r w:rsidRPr="0052255D" w:rsidR="00A07699">
        <w:rPr>
          <w:i/>
          <w:iCs/>
        </w:rPr>
        <w:t>Jones</w:t>
      </w:r>
      <w:r w:rsidRPr="0052255D" w:rsidR="00A07699">
        <w:t>,</w:t>
      </w:r>
      <w:r w:rsidRPr="0052255D" w:rsidR="00A07699">
        <w:rPr>
          <w:i/>
          <w:iCs/>
        </w:rPr>
        <w:t xml:space="preserve"> supra</w:t>
      </w:r>
      <w:r w:rsidRPr="0052255D" w:rsidR="00A07699">
        <w:t>, 54 Cal.4th at p. 43</w:t>
      </w:r>
      <w:r w:rsidRPr="0052255D" w:rsidR="00A07699">
        <w:rPr>
          <w:i/>
          <w:iCs/>
        </w:rPr>
        <w:t xml:space="preserve"> </w:t>
      </w:r>
      <w:r w:rsidRPr="0052255D" w:rsidR="008B250E">
        <w:t xml:space="preserve">[holding that </w:t>
      </w:r>
      <w:r w:rsidRPr="0052255D" w:rsidR="00A07699">
        <w:t xml:space="preserve">the prospective juror’s </w:t>
      </w:r>
      <w:r w:rsidRPr="0052255D" w:rsidR="008B250E">
        <w:t>“</w:t>
      </w:r>
      <w:r w:rsidRPr="0052255D" w:rsidR="00A07699">
        <w:t>equivocation in response to questioning requires that we defer to the trial court’s assessment of her initial and ultimate state of mind</w:t>
      </w:r>
      <w:r w:rsidRPr="0052255D" w:rsidR="00F73B08">
        <w:t>”]</w:t>
      </w:r>
      <w:r w:rsidRPr="0052255D" w:rsidR="00633A2E">
        <w:t xml:space="preserve">; </w:t>
      </w:r>
      <w:r w:rsidRPr="0052255D" w:rsidR="00633A2E">
        <w:rPr>
          <w:i/>
          <w:iCs/>
        </w:rPr>
        <w:t xml:space="preserve">People v. Martinez </w:t>
      </w:r>
      <w:r w:rsidRPr="0052255D" w:rsidR="00633A2E">
        <w:t xml:space="preserve">(2009) 47 Cal.4th </w:t>
      </w:r>
      <w:r w:rsidRPr="0052255D" w:rsidR="00ED7652">
        <w:t>399, 431–</w:t>
      </w:r>
      <w:r w:rsidRPr="0052255D" w:rsidR="00ED7652">
        <w:rPr>
          <w:color w:val="000000" w:themeColor="text1"/>
        </w:rPr>
        <w:t>432 [</w:t>
      </w:r>
      <w:r w:rsidRPr="0052255D" w:rsidR="00ED7652">
        <w:t xml:space="preserve">when prospective juror has made statements that support exclusion for cause, the fact that the juror also made statements that might have warranted retaining her on the jury does not </w:t>
      </w:r>
      <w:r w:rsidRPr="0052255D" w:rsidR="00035838">
        <w:t>change the conclusion that</w:t>
      </w:r>
      <w:r w:rsidRPr="0052255D" w:rsidR="00ED7652">
        <w:t xml:space="preserve"> substantial evidence supports the trial court’s ruling]</w:t>
      </w:r>
      <w:r w:rsidRPr="0052255D" w:rsidR="00172BA0">
        <w:t xml:space="preserve">; </w:t>
      </w:r>
      <w:r w:rsidRPr="0052255D" w:rsidR="00FB3E0C">
        <w:rPr>
          <w:i/>
          <w:iCs/>
        </w:rPr>
        <w:t xml:space="preserve">People v. Merriman </w:t>
      </w:r>
      <w:r w:rsidRPr="0052255D" w:rsidR="00FB3E0C">
        <w:t xml:space="preserve">(2014) </w:t>
      </w:r>
      <w:r w:rsidRPr="0052255D" w:rsidR="004F05B7">
        <w:t xml:space="preserve">60 Cal.4th 1, 55–56 </w:t>
      </w:r>
      <w:r w:rsidRPr="0052255D" w:rsidR="007776A7">
        <w:t>(</w:t>
      </w:r>
      <w:r w:rsidRPr="0052255D" w:rsidR="007776A7">
        <w:rPr>
          <w:i/>
          <w:iCs/>
        </w:rPr>
        <w:t>Merriman</w:t>
      </w:r>
      <w:r w:rsidRPr="0052255D" w:rsidR="007776A7">
        <w:t>)</w:t>
      </w:r>
      <w:r w:rsidRPr="0052255D" w:rsidR="007776A7">
        <w:rPr>
          <w:i/>
          <w:iCs/>
        </w:rPr>
        <w:t xml:space="preserve"> </w:t>
      </w:r>
      <w:r w:rsidRPr="0052255D" w:rsidR="004F05B7">
        <w:t>[“Having assessed [</w:t>
      </w:r>
      <w:r w:rsidRPr="0052255D" w:rsidR="00E27CDE">
        <w:t xml:space="preserve">the </w:t>
      </w:r>
      <w:r w:rsidRPr="0052255D" w:rsidR="004F05B7">
        <w:t>prospective juror’s] demeanor firsthand during questioning, the trial court could properly find the questionnaire responses the better reflection of [the juror’s] true state of mind”]</w:t>
      </w:r>
      <w:r w:rsidRPr="0052255D" w:rsidR="00A07699">
        <w:t>.)</w:t>
      </w:r>
      <w:r w:rsidRPr="0052255D" w:rsidR="00B418F8">
        <w:rPr>
          <w:color w:val="FF0000"/>
        </w:rPr>
        <w:t xml:space="preserve">  </w:t>
      </w:r>
      <w:r w:rsidRPr="0052255D" w:rsidR="00B418F8">
        <w:t>Accordingly, we conclude the court acted within its discretion in excusing</w:t>
      </w:r>
      <w:r w:rsidRPr="0052255D" w:rsidR="00B418F8">
        <w:rPr>
          <w:color w:val="FF0000"/>
        </w:rPr>
        <w:t xml:space="preserve"> </w:t>
      </w:r>
      <w:r w:rsidRPr="0052255D">
        <w:t xml:space="preserve">Prospective Juror No. </w:t>
      </w:r>
      <w:r w:rsidRPr="0052255D" w:rsidR="0008561F">
        <w:t>190</w:t>
      </w:r>
      <w:r w:rsidRPr="0052255D">
        <w:t xml:space="preserve">.  </w:t>
      </w:r>
    </w:p>
    <w:p w:rsidR="00421D33" w:rsidRPr="0052255D" w:rsidP="0052255D">
      <w:pPr>
        <w:pStyle w:val="Heading3"/>
      </w:pPr>
      <w:bookmarkStart w:id="15" w:name="_Toc94515335"/>
      <w:r w:rsidRPr="0052255D">
        <w:t xml:space="preserve">2.  </w:t>
      </w:r>
      <w:r w:rsidRPr="0052255D">
        <w:t xml:space="preserve">Constitutionality of </w:t>
      </w:r>
      <w:r w:rsidRPr="0052255D" w:rsidR="00BE4F76">
        <w:t>s</w:t>
      </w:r>
      <w:r w:rsidRPr="0052255D">
        <w:t xml:space="preserve">ubstantial </w:t>
      </w:r>
      <w:r w:rsidRPr="0052255D" w:rsidR="00BE4F76">
        <w:t>i</w:t>
      </w:r>
      <w:r w:rsidRPr="0052255D">
        <w:t xml:space="preserve">mpairment </w:t>
      </w:r>
      <w:r w:rsidRPr="0052255D" w:rsidR="00BE4F76">
        <w:t>s</w:t>
      </w:r>
      <w:r w:rsidRPr="0052255D" w:rsidR="00F32C99">
        <w:t>tandard</w:t>
      </w:r>
      <w:r w:rsidRPr="0052255D" w:rsidR="00A7402E">
        <w:t xml:space="preserve"> for</w:t>
      </w:r>
      <w:r w:rsidRPr="0052255D">
        <w:t xml:space="preserve"> </w:t>
      </w:r>
      <w:r w:rsidRPr="0052255D" w:rsidR="00BE4F76">
        <w:t>d</w:t>
      </w:r>
      <w:r w:rsidRPr="0052255D" w:rsidR="00A7402E">
        <w:t xml:space="preserve">etermining </w:t>
      </w:r>
      <w:r w:rsidRPr="0052255D" w:rsidR="00BE4F76">
        <w:t>j</w:t>
      </w:r>
      <w:r w:rsidRPr="0052255D" w:rsidR="00A7402E">
        <w:t xml:space="preserve">uror </w:t>
      </w:r>
      <w:r w:rsidRPr="0052255D" w:rsidR="00BE4F76">
        <w:t>b</w:t>
      </w:r>
      <w:r w:rsidRPr="0052255D" w:rsidR="00A7402E">
        <w:t xml:space="preserve">ias in </w:t>
      </w:r>
      <w:r w:rsidRPr="0052255D" w:rsidR="00BE4F76">
        <w:t>c</w:t>
      </w:r>
      <w:r w:rsidRPr="0052255D" w:rsidR="00A7402E">
        <w:t xml:space="preserve">apital </w:t>
      </w:r>
      <w:r w:rsidRPr="0052255D" w:rsidR="00BE4F76">
        <w:t>c</w:t>
      </w:r>
      <w:r w:rsidRPr="0052255D" w:rsidR="00A7402E">
        <w:t>ases</w:t>
      </w:r>
      <w:r w:rsidRPr="0052255D" w:rsidR="00007BB0">
        <w:t xml:space="preserve"> </w:t>
      </w:r>
      <w:bookmarkEnd w:id="15"/>
    </w:p>
    <w:p w:rsidR="003E63A0" w:rsidRPr="0052255D" w:rsidP="0052255D">
      <w:pPr>
        <w:ind w:firstLine="720"/>
      </w:pPr>
      <w:r w:rsidRPr="0052255D">
        <w:t>Relatedly, d</w:t>
      </w:r>
      <w:r w:rsidRPr="0052255D" w:rsidR="00F32C99">
        <w:t xml:space="preserve">efendant contends </w:t>
      </w:r>
      <w:r w:rsidRPr="0052255D" w:rsidR="00D64C45">
        <w:t xml:space="preserve">that the </w:t>
      </w:r>
      <w:r w:rsidRPr="0052255D" w:rsidR="00157503">
        <w:t>“</w:t>
      </w:r>
      <w:r w:rsidRPr="0052255D" w:rsidR="00D64C45">
        <w:t>substantial impairment</w:t>
      </w:r>
      <w:r w:rsidRPr="0052255D" w:rsidR="00157503">
        <w:t>”</w:t>
      </w:r>
      <w:r w:rsidRPr="0052255D" w:rsidR="00D64C45">
        <w:t xml:space="preserve"> </w:t>
      </w:r>
      <w:r w:rsidRPr="0052255D" w:rsidR="00E55FAB">
        <w:t xml:space="preserve">standard </w:t>
      </w:r>
      <w:r w:rsidRPr="0052255D" w:rsidR="00574F94">
        <w:t xml:space="preserve">used </w:t>
      </w:r>
      <w:r w:rsidRPr="0052255D" w:rsidR="00A43849">
        <w:t xml:space="preserve">for </w:t>
      </w:r>
      <w:r w:rsidRPr="0052255D" w:rsidR="00574F94">
        <w:t xml:space="preserve">determining jury bias in capital cases </w:t>
      </w:r>
      <w:r w:rsidRPr="0052255D" w:rsidR="006D6C82">
        <w:t>violates his right to an impartial jury</w:t>
      </w:r>
      <w:r w:rsidRPr="0052255D" w:rsidR="00E55FAB">
        <w:t>, thereby requiring reversal of h</w:t>
      </w:r>
      <w:r w:rsidRPr="0052255D" w:rsidR="00C90E58">
        <w:t>is death judgment</w:t>
      </w:r>
      <w:r w:rsidRPr="0052255D" w:rsidR="00F32C99">
        <w:t>.</w:t>
      </w:r>
      <w:r w:rsidRPr="0052255D" w:rsidR="00C90E58">
        <w:t xml:space="preserve">  </w:t>
      </w:r>
      <w:r w:rsidRPr="0052255D" w:rsidR="007573C8">
        <w:t>W</w:t>
      </w:r>
      <w:r w:rsidRPr="0052255D" w:rsidR="001D0BD5">
        <w:t xml:space="preserve">e </w:t>
      </w:r>
      <w:r w:rsidRPr="0052255D" w:rsidR="00A00815">
        <w:t>disagree.</w:t>
      </w:r>
    </w:p>
    <w:p w:rsidR="000B747B" w:rsidRPr="0052255D" w:rsidP="0052255D">
      <w:pPr>
        <w:ind w:firstLine="720"/>
      </w:pPr>
      <w:r w:rsidRPr="0052255D">
        <w:t xml:space="preserve">The Sixth Amendment </w:t>
      </w:r>
      <w:r w:rsidRPr="0052255D" w:rsidR="005915E2">
        <w:t xml:space="preserve">of the United States Constitution guarantees the right of a defendant </w:t>
      </w:r>
      <w:r w:rsidRPr="0052255D" w:rsidR="00FA5FF8">
        <w:t>i</w:t>
      </w:r>
      <w:r w:rsidRPr="0052255D" w:rsidR="00784E47">
        <w:t>n all criminal prosecutions</w:t>
      </w:r>
      <w:r w:rsidRPr="0052255D" w:rsidR="00B2270C">
        <w:t xml:space="preserve"> to a trial </w:t>
      </w:r>
      <w:r w:rsidRPr="0052255D" w:rsidR="00321A6F">
        <w:t>by an “impartial jury.”  (U.S. Const.</w:t>
      </w:r>
      <w:r w:rsidRPr="0052255D" w:rsidR="00C01EA9">
        <w:t>,</w:t>
      </w:r>
      <w:r w:rsidRPr="0052255D" w:rsidR="00321A6F">
        <w:t xml:space="preserve"> </w:t>
      </w:r>
      <w:r w:rsidRPr="0052255D" w:rsidR="00955028">
        <w:t xml:space="preserve">6th </w:t>
      </w:r>
      <w:r w:rsidRPr="0052255D" w:rsidR="00C01EA9">
        <w:t>Amend</w:t>
      </w:r>
      <w:r w:rsidRPr="0052255D" w:rsidR="00321A6F">
        <w:t>.)  The California Constitution independently guarantees the right to trial by an impartial jury</w:t>
      </w:r>
      <w:r w:rsidRPr="0052255D" w:rsidR="00321A6F">
        <w:rPr>
          <w:color w:val="000000" w:themeColor="text1"/>
        </w:rPr>
        <w:t>.  (</w:t>
      </w:r>
      <w:r w:rsidRPr="0052255D" w:rsidR="00955028">
        <w:t>Cal. Const., art. I, § 16</w:t>
      </w:r>
      <w:r w:rsidRPr="0052255D" w:rsidR="00DC3479">
        <w:t xml:space="preserve">; see </w:t>
      </w:r>
      <w:r w:rsidRPr="0052255D" w:rsidR="00133BFF">
        <w:rPr>
          <w:i/>
          <w:iCs/>
        </w:rPr>
        <w:t xml:space="preserve">People v. Thomas </w:t>
      </w:r>
      <w:r w:rsidRPr="0052255D" w:rsidR="00133BFF">
        <w:t>(2011)</w:t>
      </w:r>
      <w:r w:rsidRPr="0052255D" w:rsidR="009F01F9">
        <w:t xml:space="preserve"> 51 Cal.4th 4</w:t>
      </w:r>
      <w:r w:rsidRPr="0052255D" w:rsidR="00A032F1">
        <w:t>4</w:t>
      </w:r>
      <w:r w:rsidRPr="0052255D" w:rsidR="009F01F9">
        <w:t>9, 462</w:t>
      </w:r>
      <w:r w:rsidRPr="0052255D" w:rsidR="00BE3435">
        <w:t xml:space="preserve"> (</w:t>
      </w:r>
      <w:r w:rsidRPr="0052255D" w:rsidR="00BE3435">
        <w:rPr>
          <w:i/>
          <w:iCs/>
        </w:rPr>
        <w:t>Thomas</w:t>
      </w:r>
      <w:r w:rsidRPr="0052255D" w:rsidR="00BE3435">
        <w:t>)</w:t>
      </w:r>
      <w:r w:rsidRPr="0052255D" w:rsidR="00321A6F">
        <w:rPr>
          <w:color w:val="000000" w:themeColor="text1"/>
        </w:rPr>
        <w:t xml:space="preserve">.)  </w:t>
      </w:r>
      <w:r w:rsidRPr="0052255D" w:rsidR="00BD28F9">
        <w:rPr>
          <w:color w:val="000000" w:themeColor="text1"/>
        </w:rPr>
        <w:t>“</w:t>
      </w:r>
      <w:r w:rsidRPr="0052255D" w:rsidR="00BD28F9">
        <w:t>The Sixth Amendment right to an impartial jury and the due process right to a fundamentally fair trial guarantee to criminal defendants a trial in which jurors set aside preconceptions, disregard extrajudicial influences, and decide guilt or innocence ‘based on the evidence presented in court.’ ”  (</w:t>
      </w:r>
      <w:r w:rsidRPr="0052255D" w:rsidR="00BD28F9">
        <w:rPr>
          <w:i/>
          <w:iCs/>
        </w:rPr>
        <w:t xml:space="preserve">Skilling v. United States </w:t>
      </w:r>
      <w:r w:rsidRPr="0052255D" w:rsidR="00BD28F9">
        <w:t>(2010) 561 U.S. 358, 438.)</w:t>
      </w:r>
      <w:r w:rsidRPr="0052255D" w:rsidR="00AA71B5">
        <w:t xml:space="preserve">  “[P]art of the guarantee of a defendant’s right to an impartial jury is an adequate voir dire to identify unqualified jurors.  [Citations.]  ‘Voir dire plays a critical function in assuring the criminal defendant that his [constitutional] right to an impartial jury will be honored.</w:t>
      </w:r>
      <w:r w:rsidRPr="0052255D" w:rsidR="006C0EC4">
        <w:t xml:space="preserve">  Without an adequate voir dire the trial judge’s responsibility </w:t>
      </w:r>
      <w:r w:rsidRPr="0052255D" w:rsidR="001A1DEF">
        <w:t>to remove prospective jurors who will not be able impartially to follow the court’s instructions and evaluate the evidence cannot be fulfilled.</w:t>
      </w:r>
      <w:r w:rsidRPr="0052255D" w:rsidR="00AA71B5">
        <w:t xml:space="preserve">’ ”  </w:t>
      </w:r>
      <w:r w:rsidRPr="0052255D" w:rsidR="00A14E6C">
        <w:t>(</w:t>
      </w:r>
      <w:r w:rsidRPr="0052255D" w:rsidR="00A14E6C">
        <w:rPr>
          <w:i/>
          <w:iCs/>
        </w:rPr>
        <w:t xml:space="preserve">Morgan v. Illinois </w:t>
      </w:r>
      <w:r w:rsidRPr="0052255D" w:rsidR="00A14E6C">
        <w:t>(1992) 504 U.S. 719, 729–730</w:t>
      </w:r>
      <w:r w:rsidR="001C3A4F">
        <w:t>, italics omitted</w:t>
      </w:r>
      <w:r w:rsidRPr="0052255D" w:rsidR="00A14E6C">
        <w:t>.)</w:t>
      </w:r>
      <w:r w:rsidRPr="0052255D" w:rsidR="00AA71B5">
        <w:t xml:space="preserve">  </w:t>
      </w:r>
    </w:p>
    <w:p w:rsidR="000B747B" w:rsidRPr="0052255D" w:rsidP="0052255D">
      <w:pPr>
        <w:ind w:firstLine="720"/>
      </w:pPr>
      <w:r w:rsidRPr="0052255D">
        <w:t>“</w:t>
      </w:r>
      <w:r w:rsidRPr="0052255D" w:rsidR="005D07BA">
        <w:t>I</w:t>
      </w:r>
      <w:r w:rsidRPr="0052255D" w:rsidR="00D9737F">
        <w:t xml:space="preserve">n </w:t>
      </w:r>
      <w:r w:rsidRPr="0052255D" w:rsidR="00D9737F">
        <w:rPr>
          <w:i/>
          <w:iCs/>
        </w:rPr>
        <w:t>Witherspoo</w:t>
      </w:r>
      <w:r w:rsidRPr="0052255D" w:rsidR="005D07BA">
        <w:rPr>
          <w:i/>
          <w:iCs/>
        </w:rPr>
        <w:t>n</w:t>
      </w:r>
      <w:r w:rsidRPr="0052255D">
        <w:rPr>
          <w:i/>
          <w:iCs/>
        </w:rPr>
        <w:t xml:space="preserve"> v. Illinois</w:t>
      </w:r>
      <w:r w:rsidR="00A12B3A">
        <w:rPr>
          <w:i/>
          <w:iCs/>
        </w:rPr>
        <w:t xml:space="preserve"> </w:t>
      </w:r>
      <w:r w:rsidRPr="0052255D">
        <w:t>[</w:t>
      </w:r>
      <w:r w:rsidR="006B14FB">
        <w:t xml:space="preserve"> </w:t>
      </w:r>
      <w:r w:rsidRPr="0052255D">
        <w:t>]</w:t>
      </w:r>
      <w:r w:rsidRPr="0052255D" w:rsidR="005D07BA">
        <w:t>,</w:t>
      </w:r>
      <w:r w:rsidRPr="0052255D" w:rsidR="005D07BA">
        <w:rPr>
          <w:i/>
          <w:iCs/>
        </w:rPr>
        <w:t xml:space="preserve"> </w:t>
      </w:r>
      <w:r w:rsidRPr="0052255D">
        <w:t xml:space="preserve">the United States Supreme Court </w:t>
      </w:r>
      <w:r w:rsidRPr="0052255D" w:rsidR="005D07BA">
        <w:t xml:space="preserve">held that a prospective juror cannot be excused </w:t>
      </w:r>
      <w:r w:rsidRPr="0052255D" w:rsidR="00F65DCD">
        <w:t xml:space="preserve">for cause based on his or her views on capital punishment without violating a defendant’s right to an impartial jury under the Sixth Amendment, unless, as </w:t>
      </w:r>
      <w:r w:rsidR="0073209A">
        <w:t xml:space="preserve">is </w:t>
      </w:r>
      <w:r w:rsidRPr="0052255D" w:rsidR="00F65DCD">
        <w:t xml:space="preserve">pertinent here, the prospective </w:t>
      </w:r>
      <w:r w:rsidRPr="0052255D">
        <w:t>juror</w:t>
      </w:r>
      <w:r w:rsidRPr="0052255D" w:rsidR="00F65DCD">
        <w:t xml:space="preserve"> made it </w:t>
      </w:r>
      <w:r w:rsidRPr="0052255D" w:rsidR="00772800">
        <w:t>‘</w:t>
      </w:r>
      <w:r w:rsidRPr="0052255D">
        <w:t>unmistakably</w:t>
      </w:r>
      <w:r w:rsidRPr="0052255D" w:rsidR="00F65DCD">
        <w:t xml:space="preserve"> clear</w:t>
      </w:r>
      <w:r w:rsidRPr="0052255D" w:rsidR="00772800">
        <w:t>’</w:t>
      </w:r>
      <w:r w:rsidRPr="0052255D" w:rsidR="00F65DCD">
        <w:t xml:space="preserve"> that he or she would </w:t>
      </w:r>
      <w:r w:rsidRPr="0052255D" w:rsidR="00772800">
        <w:t>‘</w:t>
      </w:r>
      <w:r w:rsidRPr="0052255D" w:rsidR="00F65DCD">
        <w:rPr>
          <w:i/>
          <w:iCs/>
        </w:rPr>
        <w:t>automatically</w:t>
      </w:r>
      <w:r w:rsidRPr="0052255D" w:rsidR="00F65DCD">
        <w:t xml:space="preserve"> vote against </w:t>
      </w:r>
      <w:r w:rsidRPr="0052255D">
        <w:t xml:space="preserve">the imposition of capital punishment without regard </w:t>
      </w:r>
      <w:r w:rsidR="0073209A">
        <w:t>to any</w:t>
      </w:r>
      <w:r w:rsidRPr="0052255D">
        <w:t xml:space="preserve"> evidence that might be developed at the trial of the case</w:t>
      </w:r>
      <w:r w:rsidRPr="0052255D" w:rsidR="00CB48C8">
        <w:t xml:space="preserve"> </w:t>
      </w:r>
      <w:r w:rsidRPr="0052255D" w:rsidR="00772800">
        <w:t xml:space="preserve">. . . .’  [Citation.]  In </w:t>
      </w:r>
      <w:r w:rsidRPr="0052255D" w:rsidR="00772800">
        <w:rPr>
          <w:i/>
          <w:iCs/>
        </w:rPr>
        <w:t>Wainwright v. Witt</w:t>
      </w:r>
      <w:r w:rsidR="00A12B3A">
        <w:rPr>
          <w:i/>
          <w:iCs/>
        </w:rPr>
        <w:t xml:space="preserve"> </w:t>
      </w:r>
      <w:r w:rsidRPr="0052255D" w:rsidR="00772800">
        <w:t>[</w:t>
      </w:r>
      <w:r w:rsidR="00A12B3A">
        <w:t xml:space="preserve"> </w:t>
      </w:r>
      <w:r w:rsidRPr="0052255D" w:rsidR="00772800">
        <w:t xml:space="preserve">], however, the court </w:t>
      </w:r>
      <w:r w:rsidRPr="0052255D" w:rsidR="00686B8F">
        <w:t xml:space="preserve">revisited </w:t>
      </w:r>
      <w:r w:rsidRPr="0052255D" w:rsidR="00686B8F">
        <w:rPr>
          <w:i/>
          <w:iCs/>
        </w:rPr>
        <w:t>Witherspoon</w:t>
      </w:r>
      <w:r w:rsidRPr="0052255D" w:rsidR="00686B8F">
        <w:t xml:space="preserve"> and declared that the proper standard was ‘whether the [prospective] juror’s views would “prevent or substantially impair the performance of his duties as a juror in accordance with his instructions </w:t>
      </w:r>
      <w:r w:rsidRPr="0052255D" w:rsidR="007C3A66">
        <w:t>and his</w:t>
      </w:r>
      <w:r w:rsidRPr="0052255D" w:rsidR="00686B8F">
        <w:t xml:space="preserve"> oath.” ’</w:t>
      </w:r>
      <w:r w:rsidR="008C1D74">
        <w:t> </w:t>
      </w:r>
      <w:r w:rsidRPr="0052255D" w:rsidR="00686B8F">
        <w:t>”</w:t>
      </w:r>
      <w:r w:rsidRPr="0052255D">
        <w:t xml:space="preserve"> </w:t>
      </w:r>
      <w:r w:rsidRPr="0052255D">
        <w:rPr>
          <w:color w:val="000000" w:themeColor="text1"/>
        </w:rPr>
        <w:t xml:space="preserve"> </w:t>
      </w:r>
      <w:r w:rsidRPr="0052255D" w:rsidR="009E5343">
        <w:t>(</w:t>
      </w:r>
      <w:r w:rsidRPr="0052255D" w:rsidR="009E5343">
        <w:rPr>
          <w:i/>
          <w:iCs/>
        </w:rPr>
        <w:t xml:space="preserve">People v. Griffin </w:t>
      </w:r>
      <w:r w:rsidRPr="0052255D" w:rsidR="009E5343">
        <w:t xml:space="preserve">(2004) 33 Cal.4th 536, </w:t>
      </w:r>
      <w:r w:rsidRPr="0052255D" w:rsidR="005A1624">
        <w:t>558</w:t>
      </w:r>
      <w:r w:rsidRPr="0052255D" w:rsidR="005B2FFB">
        <w:t xml:space="preserve"> (</w:t>
      </w:r>
      <w:r w:rsidRPr="0052255D" w:rsidR="005B2FFB">
        <w:rPr>
          <w:i/>
          <w:iCs/>
        </w:rPr>
        <w:t>Griffin</w:t>
      </w:r>
      <w:r w:rsidRPr="0052255D" w:rsidR="005B2FFB">
        <w:t>)</w:t>
      </w:r>
      <w:r w:rsidRPr="0052255D" w:rsidR="005A1624">
        <w:t xml:space="preserve">, overruled on another ground by </w:t>
      </w:r>
      <w:r w:rsidRPr="0052255D" w:rsidR="005C5536">
        <w:rPr>
          <w:i/>
          <w:iCs/>
        </w:rPr>
        <w:t>People v. Riccardi</w:t>
      </w:r>
      <w:r w:rsidRPr="0052255D" w:rsidR="00034035">
        <w:rPr>
          <w:i/>
          <w:iCs/>
        </w:rPr>
        <w:t xml:space="preserve"> </w:t>
      </w:r>
      <w:r w:rsidRPr="0052255D" w:rsidR="005C5536">
        <w:t xml:space="preserve">(2012) </w:t>
      </w:r>
      <w:r w:rsidRPr="0052255D" w:rsidR="00034035">
        <w:t>54</w:t>
      </w:r>
      <w:r w:rsidRPr="0052255D" w:rsidR="002A2BB4">
        <w:t> </w:t>
      </w:r>
      <w:r w:rsidRPr="0052255D" w:rsidR="00034035">
        <w:t xml:space="preserve">Cal.4th 758, </w:t>
      </w:r>
      <w:r w:rsidRPr="0052255D" w:rsidR="00B07604">
        <w:t>824, fn. 32.</w:t>
      </w:r>
      <w:r w:rsidRPr="0052255D" w:rsidR="00BB16B0">
        <w:t>)</w:t>
      </w:r>
    </w:p>
    <w:p w:rsidR="00F32C99" w:rsidRPr="0052255D" w:rsidP="0052255D">
      <w:pPr>
        <w:ind w:firstLine="720"/>
        <w:rPr>
          <w:color w:val="000000" w:themeColor="text1"/>
        </w:rPr>
      </w:pPr>
      <w:r w:rsidRPr="0052255D">
        <w:t xml:space="preserve">The </w:t>
      </w:r>
      <w:r w:rsidRPr="0052255D" w:rsidR="00964CC4">
        <w:t xml:space="preserve">high court has </w:t>
      </w:r>
      <w:r w:rsidRPr="0052255D" w:rsidR="00660E97">
        <w:t xml:space="preserve">on numerous occasions reaffirmed </w:t>
      </w:r>
      <w:r w:rsidRPr="0052255D" w:rsidR="00627928">
        <w:rPr>
          <w:i/>
          <w:iCs/>
        </w:rPr>
        <w:t>Witt</w:t>
      </w:r>
      <w:r w:rsidRPr="0052255D" w:rsidR="00627928">
        <w:t>’s</w:t>
      </w:r>
      <w:r w:rsidRPr="0052255D" w:rsidR="00660E97">
        <w:t xml:space="preserve"> substantial impairment standard in determining jury bias in capital cases</w:t>
      </w:r>
      <w:r w:rsidRPr="0052255D" w:rsidR="008E2347">
        <w:t xml:space="preserve">.  </w:t>
      </w:r>
      <w:r w:rsidRPr="0052255D" w:rsidR="00EF4B63">
        <w:t xml:space="preserve">(E.g., </w:t>
      </w:r>
      <w:r w:rsidRPr="0052255D" w:rsidR="00D12E29">
        <w:rPr>
          <w:i/>
          <w:iCs/>
        </w:rPr>
        <w:t>Uttecht</w:t>
      </w:r>
      <w:r w:rsidRPr="0052255D" w:rsidR="00D12E29">
        <w:t xml:space="preserve">, </w:t>
      </w:r>
      <w:r w:rsidRPr="0052255D" w:rsidR="00D12E29">
        <w:rPr>
          <w:i/>
          <w:iCs/>
        </w:rPr>
        <w:t>supra</w:t>
      </w:r>
      <w:r w:rsidRPr="0052255D" w:rsidR="00D12E29">
        <w:t>, 551 U.S. at p.</w:t>
      </w:r>
      <w:r w:rsidR="00C44E18">
        <w:t> </w:t>
      </w:r>
      <w:r w:rsidRPr="0052255D" w:rsidR="00D12E29">
        <w:t xml:space="preserve">9; </w:t>
      </w:r>
      <w:r w:rsidRPr="0052255D" w:rsidR="0010373F">
        <w:rPr>
          <w:i/>
          <w:iCs/>
        </w:rPr>
        <w:t>Morgan v. Illinois</w:t>
      </w:r>
      <w:r w:rsidRPr="0052255D" w:rsidR="00F54EA1">
        <w:t xml:space="preserve">, </w:t>
      </w:r>
      <w:r w:rsidRPr="0052255D" w:rsidR="00F54EA1">
        <w:rPr>
          <w:i/>
          <w:iCs/>
        </w:rPr>
        <w:t>supra</w:t>
      </w:r>
      <w:r w:rsidRPr="0052255D" w:rsidR="00F54EA1">
        <w:t>,</w:t>
      </w:r>
      <w:r w:rsidRPr="0052255D" w:rsidR="0010373F">
        <w:rPr>
          <w:i/>
          <w:iCs/>
        </w:rPr>
        <w:t xml:space="preserve"> </w:t>
      </w:r>
      <w:r w:rsidRPr="0052255D" w:rsidR="0010373F">
        <w:t xml:space="preserve">504 U.S. </w:t>
      </w:r>
      <w:r w:rsidRPr="0052255D" w:rsidR="00F54EA1">
        <w:t>at p.</w:t>
      </w:r>
      <w:r w:rsidRPr="0052255D" w:rsidR="000B5D89">
        <w:t xml:space="preserve"> 728; </w:t>
      </w:r>
      <w:r w:rsidRPr="0052255D" w:rsidR="00627928">
        <w:rPr>
          <w:i/>
          <w:iCs/>
        </w:rPr>
        <w:t xml:space="preserve">Gray v. Mississippi </w:t>
      </w:r>
      <w:r w:rsidRPr="0052255D" w:rsidR="00627928">
        <w:t xml:space="preserve">(1987) </w:t>
      </w:r>
      <w:r w:rsidRPr="0052255D" w:rsidR="00D328A1">
        <w:t>481 U.S. 648, 658</w:t>
      </w:r>
      <w:r w:rsidRPr="0052255D" w:rsidR="00EF4B63">
        <w:t xml:space="preserve">.)  </w:t>
      </w:r>
      <w:r w:rsidRPr="0052255D" w:rsidR="008E2347">
        <w:t xml:space="preserve">In </w:t>
      </w:r>
      <w:r w:rsidRPr="0052255D" w:rsidR="002654E9">
        <w:rPr>
          <w:i/>
          <w:iCs/>
        </w:rPr>
        <w:t>Uttecht</w:t>
      </w:r>
      <w:r w:rsidRPr="0052255D" w:rsidR="002654E9">
        <w:t xml:space="preserve">, </w:t>
      </w:r>
      <w:r w:rsidRPr="0052255D" w:rsidR="008E2347">
        <w:t xml:space="preserve">the court reviewed </w:t>
      </w:r>
      <w:r w:rsidRPr="0052255D" w:rsidR="00950B83">
        <w:t xml:space="preserve">its </w:t>
      </w:r>
      <w:r w:rsidRPr="0052255D" w:rsidR="00AE783C">
        <w:t>jurisprudence in this area</w:t>
      </w:r>
      <w:r w:rsidRPr="0052255D" w:rsidR="00C23A87">
        <w:t>, concluding</w:t>
      </w:r>
      <w:r w:rsidRPr="0052255D" w:rsidR="00FE420C">
        <w:t>:  “These precedents establish at least four principles of relevance here.  First, a criminal defendant has the right to an impartial jury drawn from a venire that has not been til</w:t>
      </w:r>
      <w:r w:rsidRPr="0052255D" w:rsidR="001B5742">
        <w:t>t</w:t>
      </w:r>
      <w:r w:rsidRPr="0052255D" w:rsidR="00FE420C">
        <w:t xml:space="preserve">ed in favor of capital punishment by selective prosecutorial challenges for cause.  </w:t>
      </w:r>
      <w:r w:rsidRPr="0052255D" w:rsidR="00FC3E90">
        <w:t>[Citation.]  Second, the State has a strong interest in having jurors who are able to apply capital punishment within the framework state law prescribes.  [Citation.]  Third, to balance these interests, a juror who is substantially impaired in his or her ability to impose the death penalty under the state-law framework can be excused for cause; but if the juror is not substantially impaired, removal for cause is impermissible.  [Citation.]  Fourth, in determining whether the removal of a potential juror would vindicate the State’s interest without violating the defendant’s right, the trial court makes a judgment based in part on the demeanor of the juror, a judgment owed deference by reviewing courts.”  (</w:t>
      </w:r>
      <w:r w:rsidRPr="0052255D" w:rsidR="00FC3E90">
        <w:rPr>
          <w:i/>
          <w:iCs/>
        </w:rPr>
        <w:t>Uttecht</w:t>
      </w:r>
      <w:r w:rsidRPr="0052255D" w:rsidR="00FC3E90">
        <w:t>, at p. 9</w:t>
      </w:r>
      <w:r w:rsidRPr="0052255D" w:rsidR="00FC3E90">
        <w:rPr>
          <w:color w:val="000000" w:themeColor="text1"/>
        </w:rPr>
        <w:t>.)</w:t>
      </w:r>
    </w:p>
    <w:p w:rsidR="00865503" w:rsidRPr="0052255D" w:rsidP="0052255D">
      <w:pPr>
        <w:ind w:firstLine="720"/>
      </w:pPr>
      <w:r w:rsidRPr="0052255D">
        <w:t xml:space="preserve">Defendant argues that the substantial impairment standard is improperly premised on balancing the competing interests of the </w:t>
      </w:r>
      <w:r w:rsidRPr="0052255D" w:rsidR="001B5742">
        <w:t>S</w:t>
      </w:r>
      <w:r w:rsidRPr="0052255D">
        <w:t xml:space="preserve">tate and the defendant, </w:t>
      </w:r>
      <w:r w:rsidRPr="0052255D" w:rsidR="001B5742">
        <w:t>rather than</w:t>
      </w:r>
      <w:r w:rsidRPr="0052255D" w:rsidR="00010AFC">
        <w:t xml:space="preserve"> the intent</w:t>
      </w:r>
      <w:r w:rsidRPr="0052255D" w:rsidR="005049C0">
        <w:t>ions</w:t>
      </w:r>
      <w:r w:rsidRPr="0052255D" w:rsidR="00010AFC">
        <w:t xml:space="preserve"> of the </w:t>
      </w:r>
      <w:r w:rsidRPr="0052255D" w:rsidR="005049C0">
        <w:t>f</w:t>
      </w:r>
      <w:r w:rsidRPr="0052255D" w:rsidR="00010AFC">
        <w:t>ramers</w:t>
      </w:r>
      <w:r w:rsidRPr="0052255D" w:rsidR="005049C0">
        <w:t xml:space="preserve"> of the United States Constitution</w:t>
      </w:r>
      <w:r w:rsidRPr="0052255D" w:rsidR="00010AFC">
        <w:t xml:space="preserve">.  </w:t>
      </w:r>
      <w:r w:rsidRPr="0052255D" w:rsidR="005049C0">
        <w:t>In making this argument, defendant relies upon</w:t>
      </w:r>
      <w:r w:rsidRPr="0052255D" w:rsidR="00211744">
        <w:t xml:space="preserve"> </w:t>
      </w:r>
      <w:r w:rsidR="00F60D86">
        <w:t>several</w:t>
      </w:r>
      <w:r w:rsidRPr="0052255D">
        <w:t xml:space="preserve"> recent </w:t>
      </w:r>
      <w:r w:rsidRPr="0052255D" w:rsidR="005049C0">
        <w:t xml:space="preserve">United States Supreme Court </w:t>
      </w:r>
      <w:r w:rsidRPr="0052255D">
        <w:t>decisions</w:t>
      </w:r>
      <w:r w:rsidRPr="0052255D" w:rsidR="00211744">
        <w:t xml:space="preserve"> </w:t>
      </w:r>
      <w:r w:rsidRPr="0052255D" w:rsidR="00A96D4E">
        <w:t xml:space="preserve">addressing </w:t>
      </w:r>
      <w:r w:rsidRPr="0052255D" w:rsidR="00534002">
        <w:t>the Sixth Amendment</w:t>
      </w:r>
      <w:r w:rsidRPr="0052255D" w:rsidR="005049C0">
        <w:t>,</w:t>
      </w:r>
      <w:r w:rsidRPr="0052255D" w:rsidR="00534002">
        <w:t xml:space="preserve"> </w:t>
      </w:r>
      <w:r w:rsidRPr="0052255D" w:rsidR="00211744">
        <w:t xml:space="preserve">in which </w:t>
      </w:r>
      <w:r w:rsidRPr="0052255D" w:rsidR="005049C0">
        <w:t>that court</w:t>
      </w:r>
      <w:r w:rsidRPr="0052255D" w:rsidR="00211744">
        <w:t xml:space="preserve"> </w:t>
      </w:r>
      <w:r w:rsidRPr="0052255D" w:rsidR="00534002">
        <w:t xml:space="preserve">emphasized the need to interpret </w:t>
      </w:r>
      <w:r w:rsidRPr="0052255D" w:rsidR="00B95A36">
        <w:t xml:space="preserve">that provision </w:t>
      </w:r>
      <w:r w:rsidRPr="0052255D" w:rsidR="00534002">
        <w:t>in light of its historical context</w:t>
      </w:r>
      <w:r w:rsidRPr="0052255D">
        <w:t xml:space="preserve">.  </w:t>
      </w:r>
      <w:r w:rsidRPr="0052255D" w:rsidR="00E74249">
        <w:t>(</w:t>
      </w:r>
      <w:r w:rsidRPr="0052255D" w:rsidR="00CF5BC4">
        <w:rPr>
          <w:i/>
          <w:iCs/>
        </w:rPr>
        <w:t xml:space="preserve">Alleyne v. United States </w:t>
      </w:r>
      <w:r w:rsidRPr="0052255D" w:rsidR="00CF5BC4">
        <w:t xml:space="preserve">(2013) 570 U.S. 99; </w:t>
      </w:r>
      <w:r w:rsidRPr="0052255D" w:rsidR="00CF5BC4">
        <w:rPr>
          <w:i/>
          <w:iCs/>
        </w:rPr>
        <w:t xml:space="preserve">Blakely v. Washington </w:t>
      </w:r>
      <w:r w:rsidRPr="0052255D" w:rsidR="00CF5BC4">
        <w:t xml:space="preserve">(2004) 542 U.S. 296; </w:t>
      </w:r>
      <w:r w:rsidRPr="0052255D" w:rsidR="00CF5BC4">
        <w:rPr>
          <w:i/>
          <w:iCs/>
        </w:rPr>
        <w:t xml:space="preserve">Crawford v. Washington </w:t>
      </w:r>
      <w:r w:rsidRPr="0052255D" w:rsidR="00CF5BC4">
        <w:t>(2004) 541 U.S. 36;</w:t>
      </w:r>
      <w:r w:rsidRPr="0052255D" w:rsidR="00CF5BC4">
        <w:rPr>
          <w:i/>
          <w:iCs/>
        </w:rPr>
        <w:t xml:space="preserve"> Ring v. Arizona </w:t>
      </w:r>
      <w:r w:rsidRPr="0052255D" w:rsidR="00CF5BC4">
        <w:t xml:space="preserve">(2002) 536 U.S. 584; </w:t>
      </w:r>
      <w:r w:rsidRPr="0052255D" w:rsidR="00CF5BC4">
        <w:rPr>
          <w:i/>
          <w:iCs/>
        </w:rPr>
        <w:t xml:space="preserve">Apprendi v. New Jersey </w:t>
      </w:r>
      <w:r w:rsidRPr="0052255D" w:rsidR="00CF5BC4">
        <w:t xml:space="preserve">(1999) 530 U.S. 466; </w:t>
      </w:r>
      <w:r w:rsidRPr="0052255D" w:rsidR="00E74249">
        <w:rPr>
          <w:i/>
          <w:iCs/>
        </w:rPr>
        <w:t xml:space="preserve">Jones v. United States </w:t>
      </w:r>
      <w:r w:rsidRPr="0052255D" w:rsidR="00E74249">
        <w:t>(1999) 526 U.S. 227.)</w:t>
      </w:r>
    </w:p>
    <w:p w:rsidR="005B2FFB" w:rsidRPr="0052255D" w:rsidP="0052255D">
      <w:pPr>
        <w:ind w:firstLine="720"/>
      </w:pPr>
      <w:r w:rsidRPr="0052255D">
        <w:t xml:space="preserve">As a </w:t>
      </w:r>
      <w:r w:rsidRPr="0052255D" w:rsidR="005C38B7">
        <w:t xml:space="preserve">threshold </w:t>
      </w:r>
      <w:r w:rsidRPr="0052255D">
        <w:t xml:space="preserve">matter, we are mindful that the high court’s interpretation of the appropriate standard for determining jury bias in capital cases under the Sixth Amendment </w:t>
      </w:r>
      <w:r w:rsidRPr="0052255D" w:rsidR="00865503">
        <w:t>is</w:t>
      </w:r>
      <w:r w:rsidRPr="0052255D">
        <w:t xml:space="preserve"> binding on this court.  (</w:t>
      </w:r>
      <w:r w:rsidRPr="0052255D" w:rsidR="00A11C5E">
        <w:rPr>
          <w:i/>
          <w:iCs/>
        </w:rPr>
        <w:t xml:space="preserve">People v. Taylor </w:t>
      </w:r>
      <w:r w:rsidRPr="0052255D" w:rsidR="00A11C5E">
        <w:t>(2009) 47</w:t>
      </w:r>
      <w:r w:rsidR="00C44E18">
        <w:t> </w:t>
      </w:r>
      <w:r w:rsidRPr="0052255D" w:rsidR="00A11C5E">
        <w:t>Cal.4th 850</w:t>
      </w:r>
      <w:r w:rsidRPr="0052255D" w:rsidR="00A01A41">
        <w:t xml:space="preserve">, </w:t>
      </w:r>
      <w:r w:rsidRPr="0052255D" w:rsidR="00364561">
        <w:t>865</w:t>
      </w:r>
      <w:r w:rsidRPr="0052255D" w:rsidR="00A01A41">
        <w:t>, fn. 7 [“</w:t>
      </w:r>
      <w:r w:rsidRPr="0052255D" w:rsidR="005F4311">
        <w:t>Because</w:t>
      </w:r>
      <w:r w:rsidRPr="0052255D" w:rsidR="004126A4">
        <w:t xml:space="preserve">, as defendant recognizes, </w:t>
      </w:r>
      <w:r w:rsidRPr="0052255D" w:rsidR="00A01A41">
        <w:t>this court cannot overrule a decision of the United States Supreme Court</w:t>
      </w:r>
      <w:r w:rsidRPr="0052255D" w:rsidR="00D7683C">
        <w:t xml:space="preserve">, </w:t>
      </w:r>
      <w:r w:rsidRPr="0052255D" w:rsidR="004126A4">
        <w:t xml:space="preserve">we do not address his attack on </w:t>
      </w:r>
      <w:r w:rsidRPr="0052255D" w:rsidR="004126A4">
        <w:rPr>
          <w:i/>
          <w:iCs/>
        </w:rPr>
        <w:t xml:space="preserve">Faretta </w:t>
      </w:r>
      <w:r w:rsidRPr="0052255D" w:rsidR="004126A4">
        <w:t>[</w:t>
      </w:r>
      <w:r w:rsidRPr="0052255D" w:rsidR="004126A4">
        <w:rPr>
          <w:i/>
          <w:iCs/>
        </w:rPr>
        <w:t xml:space="preserve">v. California </w:t>
      </w:r>
      <w:r w:rsidRPr="0052255D" w:rsidR="004126A4">
        <w:t>(1975) 422 U.S. 806</w:t>
      </w:r>
      <w:r w:rsidRPr="0052255D" w:rsidR="00C34058">
        <w:t>]</w:t>
      </w:r>
      <w:r w:rsidRPr="0052255D" w:rsidR="00A01A41">
        <w:t xml:space="preserve">”]; </w:t>
      </w:r>
      <w:r w:rsidRPr="0052255D" w:rsidR="00D861FA">
        <w:rPr>
          <w:i/>
          <w:iCs/>
        </w:rPr>
        <w:t xml:space="preserve">Stock v. Plunkett </w:t>
      </w:r>
      <w:r w:rsidRPr="0052255D" w:rsidR="00D861FA">
        <w:t>(1919) 181</w:t>
      </w:r>
      <w:r w:rsidR="00C44E18">
        <w:t> </w:t>
      </w:r>
      <w:r w:rsidRPr="0052255D" w:rsidR="00D861FA">
        <w:t xml:space="preserve">Cal. 193, 194–195 [decisions of the United States Supreme Court involving a federal question are binding on this court].)  </w:t>
      </w:r>
      <w:r w:rsidRPr="0052255D" w:rsidR="00C03FF3">
        <w:t xml:space="preserve">This is so even </w:t>
      </w:r>
      <w:r w:rsidRPr="0052255D" w:rsidR="002B4B23">
        <w:t>if we were</w:t>
      </w:r>
      <w:r w:rsidRPr="0052255D" w:rsidR="00C03FF3">
        <w:t xml:space="preserve"> to </w:t>
      </w:r>
      <w:r w:rsidRPr="0052255D" w:rsidR="007A6BD2">
        <w:t xml:space="preserve">agree with defendant that subsequent </w:t>
      </w:r>
      <w:r w:rsidRPr="0052255D" w:rsidR="002B4B23">
        <w:t xml:space="preserve">decisions by </w:t>
      </w:r>
      <w:r w:rsidRPr="0052255D" w:rsidR="005049C0">
        <w:t>that</w:t>
      </w:r>
      <w:r w:rsidRPr="0052255D" w:rsidR="002B4B23">
        <w:t xml:space="preserve"> court have </w:t>
      </w:r>
      <w:r w:rsidRPr="0052255D" w:rsidR="008C6EE9">
        <w:t>called into question whether the</w:t>
      </w:r>
      <w:r w:rsidRPr="0052255D" w:rsidR="0038567B">
        <w:t xml:space="preserve"> </w:t>
      </w:r>
      <w:r w:rsidRPr="0052255D" w:rsidR="008C6EE9">
        <w:t xml:space="preserve">substantial impairment </w:t>
      </w:r>
      <w:r w:rsidRPr="0052255D" w:rsidR="00B15E01">
        <w:t xml:space="preserve">standard </w:t>
      </w:r>
      <w:r w:rsidRPr="0052255D" w:rsidR="00503854">
        <w:t>is consistent with the Sixth Amendment</w:t>
      </w:r>
      <w:r w:rsidRPr="0052255D" w:rsidR="009837D0">
        <w:t xml:space="preserve"> right to an impartial </w:t>
      </w:r>
      <w:r w:rsidRPr="0052255D" w:rsidR="004A0CA8">
        <w:t>jury</w:t>
      </w:r>
      <w:r w:rsidRPr="0052255D" w:rsidR="00503854">
        <w:t>.</w:t>
      </w:r>
      <w:r w:rsidRPr="0052255D" w:rsidR="0038567B">
        <w:t xml:space="preserve"> </w:t>
      </w:r>
      <w:r w:rsidRPr="0052255D" w:rsidR="008C6EE9">
        <w:t xml:space="preserve"> </w:t>
      </w:r>
      <w:r w:rsidRPr="0052255D" w:rsidR="00503854">
        <w:t>(</w:t>
      </w:r>
      <w:r w:rsidRPr="0052255D">
        <w:t xml:space="preserve">See </w:t>
      </w:r>
      <w:r w:rsidRPr="0052255D">
        <w:rPr>
          <w:i/>
          <w:iCs/>
        </w:rPr>
        <w:t xml:space="preserve">Hohn v. United States </w:t>
      </w:r>
      <w:r w:rsidRPr="0052255D">
        <w:t>(1998) 524 U.S. 236, 253 [</w:t>
      </w:r>
      <w:r w:rsidRPr="0052255D" w:rsidR="005D271E">
        <w:t xml:space="preserve">United States Supreme Court </w:t>
      </w:r>
      <w:r w:rsidRPr="0052255D">
        <w:t xml:space="preserve">decisions remain binding precedent until </w:t>
      </w:r>
      <w:r w:rsidRPr="0052255D" w:rsidR="005D271E">
        <w:t>high court</w:t>
      </w:r>
      <w:r w:rsidRPr="0052255D">
        <w:t xml:space="preserve"> </w:t>
      </w:r>
      <w:r w:rsidRPr="0052255D" w:rsidR="005D271E">
        <w:t>“</w:t>
      </w:r>
      <w:r w:rsidRPr="0052255D">
        <w:t>see</w:t>
      </w:r>
      <w:r w:rsidRPr="0052255D" w:rsidR="005D271E">
        <w:t>[s]</w:t>
      </w:r>
      <w:r w:rsidRPr="0052255D">
        <w:t xml:space="preserve"> fit to reconsider them, regardless of whether subsequent cases have raised doubts about their continued </w:t>
      </w:r>
      <w:r w:rsidRPr="0052255D" w:rsidR="006451F7">
        <w:t>vitali</w:t>
      </w:r>
      <w:r w:rsidRPr="0052255D">
        <w:t>ty”].)</w:t>
      </w:r>
      <w:r w:rsidRPr="0052255D" w:rsidR="000E0C6E">
        <w:t xml:space="preserve">  </w:t>
      </w:r>
      <w:r w:rsidRPr="0052255D" w:rsidR="008F5F45">
        <w:t xml:space="preserve">Moreover, </w:t>
      </w:r>
      <w:r w:rsidRPr="0052255D" w:rsidR="00A60066">
        <w:t>the Supreme Court has reaffirmed the substantial impairment standard even after issuing the</w:t>
      </w:r>
      <w:r w:rsidRPr="0052255D" w:rsidR="008F5F45">
        <w:t xml:space="preserve"> </w:t>
      </w:r>
      <w:r w:rsidRPr="0052255D" w:rsidR="00CC2BBB">
        <w:t>Sixth Amendment</w:t>
      </w:r>
      <w:r w:rsidRPr="0052255D" w:rsidR="008F5F45">
        <w:t xml:space="preserve"> decisions </w:t>
      </w:r>
      <w:r w:rsidRPr="0052255D" w:rsidR="00CC2BBB">
        <w:t>cited by defendant</w:t>
      </w:r>
      <w:r w:rsidRPr="0052255D" w:rsidR="008F5F45">
        <w:t>.  (</w:t>
      </w:r>
      <w:r w:rsidRPr="0052255D" w:rsidR="008F5F45">
        <w:rPr>
          <w:i/>
          <w:iCs/>
        </w:rPr>
        <w:t xml:space="preserve">White v. Wheeler </w:t>
      </w:r>
      <w:r w:rsidRPr="0052255D" w:rsidR="008F5F45">
        <w:t>(2015) 577 U.S. 73</w:t>
      </w:r>
      <w:r w:rsidR="002702E1">
        <w:t>, 7</w:t>
      </w:r>
      <w:r w:rsidR="006D7B1C">
        <w:t>7</w:t>
      </w:r>
      <w:r w:rsidRPr="0052255D" w:rsidR="008F5F45">
        <w:t xml:space="preserve"> </w:t>
      </w:r>
      <w:r w:rsidRPr="0052255D" w:rsidR="006E0B3C">
        <w:t>[“ ‘a juror who is substantially impaired in his or her ability to impose the death penalty under the state-law framework can be excused for cause’ ”]</w:t>
      </w:r>
      <w:r w:rsidRPr="0052255D" w:rsidR="008F5F45">
        <w:t xml:space="preserve">; </w:t>
      </w:r>
      <w:r w:rsidRPr="0052255D" w:rsidR="008F5F45">
        <w:rPr>
          <w:i/>
          <w:iCs/>
        </w:rPr>
        <w:t>Uttecht</w:t>
      </w:r>
      <w:r w:rsidRPr="0052255D" w:rsidR="008F5F45">
        <w:t xml:space="preserve">, </w:t>
      </w:r>
      <w:r w:rsidRPr="0052255D" w:rsidR="008F5F45">
        <w:rPr>
          <w:i/>
          <w:iCs/>
        </w:rPr>
        <w:t>supra</w:t>
      </w:r>
      <w:r w:rsidRPr="0052255D" w:rsidR="008F5F45">
        <w:t xml:space="preserve">, 551 U.S. at p. 9.)  </w:t>
      </w:r>
      <w:r w:rsidRPr="0052255D" w:rsidR="000E0C6E">
        <w:t xml:space="preserve">Accordingly, </w:t>
      </w:r>
      <w:r w:rsidRPr="0052255D" w:rsidR="009C5BFC">
        <w:rPr>
          <w:i/>
          <w:iCs/>
        </w:rPr>
        <w:t>Witt</w:t>
      </w:r>
      <w:r w:rsidRPr="0052255D" w:rsidR="00480C8C">
        <w:t>’s substantial impairment standard</w:t>
      </w:r>
      <w:r w:rsidRPr="0052255D" w:rsidR="009C5BFC">
        <w:rPr>
          <w:i/>
          <w:iCs/>
        </w:rPr>
        <w:t xml:space="preserve"> </w:t>
      </w:r>
      <w:r w:rsidRPr="0052255D" w:rsidR="009C5BFC">
        <w:t>remains binding on this court</w:t>
      </w:r>
      <w:r w:rsidRPr="0052255D" w:rsidR="005049C0">
        <w:t>,</w:t>
      </w:r>
      <w:r w:rsidRPr="0052255D" w:rsidR="006E0B3C">
        <w:t xml:space="preserve"> and we are not at liberty to consider defendant’s federal claim any further</w:t>
      </w:r>
      <w:r w:rsidRPr="0052255D" w:rsidR="009C5BFC">
        <w:t>.</w:t>
      </w:r>
      <w:r w:rsidRPr="0052255D">
        <w:t xml:space="preserve">  </w:t>
      </w:r>
    </w:p>
    <w:p w:rsidR="008E7F8E" w:rsidRPr="0052255D" w:rsidP="0052255D">
      <w:pPr>
        <w:ind w:firstLine="720"/>
        <w:rPr>
          <w:color w:val="000000" w:themeColor="text1"/>
        </w:rPr>
      </w:pPr>
      <w:r w:rsidRPr="0052255D">
        <w:t xml:space="preserve">Nor do </w:t>
      </w:r>
      <w:r w:rsidRPr="0052255D" w:rsidR="00421ED8">
        <w:t>we</w:t>
      </w:r>
      <w:r w:rsidRPr="0052255D">
        <w:t xml:space="preserve"> find convincing defendant’s </w:t>
      </w:r>
      <w:r w:rsidR="00195ADF">
        <w:t>corresponding</w:t>
      </w:r>
      <w:r w:rsidRPr="0052255D" w:rsidR="00195ADF">
        <w:t xml:space="preserve"> </w:t>
      </w:r>
      <w:r w:rsidRPr="0052255D" w:rsidR="00153DC0">
        <w:t>contention that</w:t>
      </w:r>
      <w:r w:rsidRPr="0052255D" w:rsidR="00640882">
        <w:t xml:space="preserve"> the substantial impairment standard violates his right to trial by an impartial jury under the state Constitution.</w:t>
      </w:r>
      <w:r w:rsidRPr="0052255D" w:rsidR="004B52E3">
        <w:t xml:space="preserve">  “In </w:t>
      </w:r>
      <w:r w:rsidRPr="0052255D" w:rsidR="004B52E3">
        <w:rPr>
          <w:i/>
          <w:iCs/>
        </w:rPr>
        <w:t xml:space="preserve">People v. Ghent </w:t>
      </w:r>
      <w:r w:rsidRPr="0052255D" w:rsidR="004B52E3">
        <w:t xml:space="preserve">(1987) 43 Cal.3d 739, 767, we adopted the </w:t>
      </w:r>
      <w:r w:rsidRPr="0052255D" w:rsidR="004B52E3">
        <w:rPr>
          <w:i/>
          <w:iCs/>
        </w:rPr>
        <w:t xml:space="preserve">Witt </w:t>
      </w:r>
      <w:r w:rsidRPr="0052255D" w:rsidR="004B52E3">
        <w:t>standard as the test for determining whether a defendant’s right to an impartial jury under article I, section 16 of the state Constitution was violated by an excusal for cause based on a prospective juror’s views on capital punishment.”</w:t>
      </w:r>
      <w:r w:rsidRPr="0052255D" w:rsidR="004B52E3">
        <w:rPr>
          <w:color w:val="000000" w:themeColor="text1"/>
        </w:rPr>
        <w:t xml:space="preserve">  </w:t>
      </w:r>
      <w:r w:rsidRPr="0052255D" w:rsidR="004B52E3">
        <w:t>(</w:t>
      </w:r>
      <w:r w:rsidRPr="0052255D" w:rsidR="004B52E3">
        <w:rPr>
          <w:i/>
          <w:iCs/>
        </w:rPr>
        <w:t>Griffin</w:t>
      </w:r>
      <w:r w:rsidRPr="0052255D" w:rsidR="004B52E3">
        <w:t xml:space="preserve">, </w:t>
      </w:r>
      <w:r w:rsidRPr="0052255D" w:rsidR="004B52E3">
        <w:rPr>
          <w:i/>
          <w:iCs/>
        </w:rPr>
        <w:t>supra</w:t>
      </w:r>
      <w:r w:rsidRPr="0052255D" w:rsidR="004B52E3">
        <w:t xml:space="preserve">, 33 Cal.4th at p. 558; </w:t>
      </w:r>
      <w:r w:rsidRPr="0052255D" w:rsidR="004B52E3">
        <w:rPr>
          <w:i/>
          <w:iCs/>
        </w:rPr>
        <w:t>Thomas</w:t>
      </w:r>
      <w:r w:rsidRPr="0052255D" w:rsidR="00153DC0">
        <w:t xml:space="preserve">, </w:t>
      </w:r>
      <w:r w:rsidRPr="0052255D" w:rsidR="00153DC0">
        <w:rPr>
          <w:i/>
          <w:iCs/>
        </w:rPr>
        <w:t>supra</w:t>
      </w:r>
      <w:r w:rsidRPr="0052255D" w:rsidR="00153DC0">
        <w:t>,</w:t>
      </w:r>
      <w:r w:rsidRPr="0052255D" w:rsidR="004B52E3">
        <w:t xml:space="preserve"> 51 Cal.4th </w:t>
      </w:r>
      <w:r w:rsidRPr="0052255D" w:rsidR="00153DC0">
        <w:t>at p.</w:t>
      </w:r>
      <w:r w:rsidRPr="0052255D" w:rsidR="002A2BB4">
        <w:t> </w:t>
      </w:r>
      <w:r w:rsidRPr="0052255D" w:rsidR="004B52E3">
        <w:t xml:space="preserve">462 [same]; </w:t>
      </w:r>
      <w:r w:rsidRPr="0052255D" w:rsidR="004B52E3">
        <w:rPr>
          <w:i/>
          <w:iCs/>
        </w:rPr>
        <w:t xml:space="preserve">People v. Lancaster </w:t>
      </w:r>
      <w:r w:rsidRPr="0052255D" w:rsidR="004B52E3">
        <w:t>(2007) 41 Cal.4th 50, 78 [“Under the applicable state and federal constitutional provisions, prospective jurors may be excused for cause if their views would prevent or substantially impair the performance of their duties”].)</w:t>
      </w:r>
      <w:r w:rsidRPr="0052255D" w:rsidR="000536D0">
        <w:t xml:space="preserve">  Defendant offers no persuasive reason for us to reconsider </w:t>
      </w:r>
      <w:r w:rsidRPr="0052255D" w:rsidR="00FA39D4">
        <w:t>whether this standard is consistent with the state Constitution’s impartial jury guarantee</w:t>
      </w:r>
      <w:r w:rsidRPr="0052255D" w:rsidR="00FA39D4">
        <w:rPr>
          <w:color w:val="000000" w:themeColor="text1"/>
        </w:rPr>
        <w:t xml:space="preserve">.  </w:t>
      </w:r>
    </w:p>
    <w:p w:rsidR="00640882" w:rsidRPr="0052255D" w:rsidP="0052255D">
      <w:pPr>
        <w:ind w:firstLine="720"/>
        <w:rPr>
          <w:color w:val="000000" w:themeColor="text1"/>
        </w:rPr>
      </w:pPr>
      <w:r w:rsidRPr="0052255D">
        <w:t xml:space="preserve">For the reasons mentioned above, </w:t>
      </w:r>
      <w:r w:rsidRPr="0052255D" w:rsidR="00F44626">
        <w:t xml:space="preserve">we </w:t>
      </w:r>
      <w:r w:rsidRPr="0052255D">
        <w:t xml:space="preserve">conclude that the substantial impairment standard </w:t>
      </w:r>
      <w:r w:rsidRPr="0052255D" w:rsidR="008E7F8E">
        <w:t>violates neither the federal nor state Constitutions</w:t>
      </w:r>
      <w:r w:rsidRPr="0052255D" w:rsidR="00F44626">
        <w:rPr>
          <w:color w:val="000000" w:themeColor="text1"/>
        </w:rPr>
        <w:t>.</w:t>
      </w:r>
      <w:r w:rsidRPr="0052255D">
        <w:rPr>
          <w:color w:val="000000" w:themeColor="text1"/>
        </w:rPr>
        <w:t xml:space="preserve"> </w:t>
      </w:r>
    </w:p>
    <w:p w:rsidR="009A6D32" w:rsidRPr="0052255D" w:rsidP="0052255D">
      <w:pPr>
        <w:pStyle w:val="Heading3"/>
      </w:pPr>
      <w:bookmarkStart w:id="16" w:name="_Toc94515336"/>
      <w:r w:rsidRPr="0052255D">
        <w:t>3</w:t>
      </w:r>
      <w:r w:rsidRPr="0052255D" w:rsidR="00F135F4">
        <w:t>.</w:t>
      </w:r>
      <w:r w:rsidRPr="0052255D">
        <w:t xml:space="preserve">  </w:t>
      </w:r>
      <w:r w:rsidRPr="0052255D" w:rsidR="00F135F4">
        <w:t xml:space="preserve">Denial of </w:t>
      </w:r>
      <w:r w:rsidRPr="0052255D">
        <w:t>d</w:t>
      </w:r>
      <w:r w:rsidRPr="0052255D" w:rsidR="00F135F4">
        <w:t>efendant’s</w:t>
      </w:r>
      <w:r w:rsidRPr="0052255D">
        <w:t xml:space="preserve"> </w:t>
      </w:r>
      <w:r w:rsidRPr="0052255D">
        <w:t>m</w:t>
      </w:r>
      <w:r w:rsidRPr="0052255D">
        <w:t xml:space="preserve">otion to </w:t>
      </w:r>
      <w:r w:rsidRPr="0052255D">
        <w:t>d</w:t>
      </w:r>
      <w:r w:rsidRPr="0052255D">
        <w:t xml:space="preserve">ismiss </w:t>
      </w:r>
      <w:r w:rsidRPr="0052255D">
        <w:t>c</w:t>
      </w:r>
      <w:r w:rsidRPr="0052255D">
        <w:t>harges</w:t>
      </w:r>
      <w:r w:rsidRPr="0052255D" w:rsidR="0020095D">
        <w:t xml:space="preserve"> </w:t>
      </w:r>
      <w:bookmarkEnd w:id="16"/>
    </w:p>
    <w:p w:rsidR="009A6D32" w:rsidRPr="0052255D" w:rsidP="0052255D">
      <w:pPr>
        <w:tabs>
          <w:tab w:val="left" w:pos="1440"/>
        </w:tabs>
        <w:ind w:firstLine="720"/>
      </w:pPr>
      <w:r w:rsidRPr="0052255D">
        <w:t xml:space="preserve">Defendant contends the </w:t>
      </w:r>
      <w:r w:rsidRPr="0052255D" w:rsidR="00712A4A">
        <w:t xml:space="preserve">nearly four-year </w:t>
      </w:r>
      <w:r w:rsidR="00AA3B10">
        <w:t>interval</w:t>
      </w:r>
      <w:r w:rsidRPr="0052255D" w:rsidR="00712A4A">
        <w:t xml:space="preserve"> between </w:t>
      </w:r>
      <w:r w:rsidRPr="0052255D" w:rsidR="00D60141">
        <w:t>the shootings</w:t>
      </w:r>
      <w:r w:rsidRPr="0052255D" w:rsidR="00E21DF1">
        <w:t xml:space="preserve"> and the filing of </w:t>
      </w:r>
      <w:r w:rsidRPr="0052255D" w:rsidR="00096987">
        <w:t xml:space="preserve">an amended felony complaint </w:t>
      </w:r>
      <w:r w:rsidRPr="0052255D" w:rsidR="0037056D">
        <w:t xml:space="preserve">was unjustified and </w:t>
      </w:r>
      <w:r w:rsidRPr="0052255D" w:rsidR="00D7274F">
        <w:t xml:space="preserve">prejudiced his ability to defend against the charges, </w:t>
      </w:r>
      <w:r w:rsidRPr="0052255D" w:rsidR="00891E0E">
        <w:t xml:space="preserve">thereby </w:t>
      </w:r>
      <w:r w:rsidRPr="0052255D" w:rsidR="00D7274F">
        <w:t>violating</w:t>
      </w:r>
      <w:r w:rsidRPr="0052255D" w:rsidR="00C3604B">
        <w:t xml:space="preserve"> his due process rights under the state and federal Constitutions.  </w:t>
      </w:r>
      <w:r w:rsidRPr="0052255D" w:rsidR="007573C8">
        <w:t>W</w:t>
      </w:r>
      <w:r w:rsidRPr="0052255D" w:rsidR="00C3604B">
        <w:t>e find no constitutional violation.</w:t>
      </w:r>
      <w:r w:rsidRPr="0052255D">
        <w:t xml:space="preserve"> </w:t>
      </w:r>
    </w:p>
    <w:p w:rsidR="00C3604B" w:rsidRPr="0052255D" w:rsidP="0052255D">
      <w:pPr>
        <w:pStyle w:val="Heading4"/>
      </w:pPr>
      <w:bookmarkStart w:id="17" w:name="_Toc94515337"/>
      <w:r w:rsidRPr="0052255D">
        <w:t>a</w:t>
      </w:r>
      <w:r w:rsidRPr="0052255D" w:rsidR="001A006F">
        <w:t>.  Background</w:t>
      </w:r>
      <w:bookmarkEnd w:id="17"/>
    </w:p>
    <w:p w:rsidR="00BA24F5" w:rsidRPr="0052255D" w:rsidP="0052255D">
      <w:pPr>
        <w:tabs>
          <w:tab w:val="left" w:pos="1440"/>
        </w:tabs>
        <w:ind w:firstLine="720"/>
      </w:pPr>
      <w:r w:rsidRPr="0052255D">
        <w:t xml:space="preserve">Johnson and Masubayashi </w:t>
      </w:r>
      <w:r w:rsidRPr="0052255D" w:rsidR="00DB4BB5">
        <w:t xml:space="preserve">were shot </w:t>
      </w:r>
      <w:r w:rsidRPr="0052255D" w:rsidR="006B3E7F">
        <w:t>just after midnight on</w:t>
      </w:r>
      <w:r w:rsidRPr="0052255D">
        <w:t xml:space="preserve"> November 12, </w:t>
      </w:r>
      <w:r w:rsidRPr="0052255D" w:rsidR="00891E0E">
        <w:t>1</w:t>
      </w:r>
      <w:r w:rsidRPr="0052255D">
        <w:t xml:space="preserve">997, but </w:t>
      </w:r>
      <w:r w:rsidRPr="0052255D" w:rsidR="00DB4BB5">
        <w:t xml:space="preserve">defendant </w:t>
      </w:r>
      <w:r w:rsidRPr="0052255D">
        <w:t xml:space="preserve">was not </w:t>
      </w:r>
      <w:r w:rsidRPr="0052255D" w:rsidR="00DB4BB5">
        <w:t xml:space="preserve">criminally </w:t>
      </w:r>
      <w:r w:rsidRPr="0052255D">
        <w:t xml:space="preserve">charged </w:t>
      </w:r>
      <w:r w:rsidRPr="0052255D" w:rsidR="00300D04">
        <w:t xml:space="preserve">with </w:t>
      </w:r>
      <w:r w:rsidRPr="0052255D" w:rsidR="0049147B">
        <w:t xml:space="preserve">the resulting offenses </w:t>
      </w:r>
      <w:r w:rsidRPr="0052255D">
        <w:t xml:space="preserve">until </w:t>
      </w:r>
      <w:r w:rsidRPr="0052255D" w:rsidR="00163F1C">
        <w:t>October 2001</w:t>
      </w:r>
      <w:r w:rsidRPr="0052255D" w:rsidR="008A1DD2">
        <w:t xml:space="preserve">.  </w:t>
      </w:r>
      <w:r w:rsidRPr="0052255D" w:rsidR="00FE625D">
        <w:t>Before trial</w:t>
      </w:r>
      <w:r w:rsidRPr="0052255D" w:rsidR="00BE498B">
        <w:t>, d</w:t>
      </w:r>
      <w:r w:rsidRPr="0052255D" w:rsidR="008426B9">
        <w:t xml:space="preserve">efendant moved to dismiss the </w:t>
      </w:r>
      <w:r w:rsidRPr="0052255D" w:rsidR="00BE498B">
        <w:t>charges against him</w:t>
      </w:r>
      <w:r w:rsidRPr="0052255D" w:rsidR="006C0BBE">
        <w:t xml:space="preserve">, arguing </w:t>
      </w:r>
      <w:r w:rsidRPr="0052255D" w:rsidR="004D12D1">
        <w:t xml:space="preserve">the </w:t>
      </w:r>
      <w:r w:rsidR="002F1503">
        <w:t xml:space="preserve">passage of time </w:t>
      </w:r>
      <w:r w:rsidRPr="0052255D" w:rsidR="004D12D1">
        <w:t xml:space="preserve">between the shootings and the filing of charges violated his right to due process </w:t>
      </w:r>
      <w:r w:rsidRPr="0052255D" w:rsidR="00D7274F">
        <w:t>because it resulted in the unavailability of exculpatory witnesses and the loss of evidence material to his defense.</w:t>
      </w:r>
      <w:r w:rsidRPr="0052255D" w:rsidR="00300832">
        <w:t xml:space="preserve">  </w:t>
      </w:r>
      <w:r w:rsidRPr="0052255D">
        <w:t xml:space="preserve">Specifically, defendant claimed the </w:t>
      </w:r>
      <w:r w:rsidR="00D05217">
        <w:t xml:space="preserve">asserted </w:t>
      </w:r>
      <w:r w:rsidRPr="0052255D">
        <w:t>delay prejudiced</w:t>
      </w:r>
      <w:r w:rsidRPr="0052255D" w:rsidR="00C07F6A">
        <w:t xml:space="preserve"> his ability to </w:t>
      </w:r>
      <w:r w:rsidRPr="0052255D" w:rsidR="00C60607">
        <w:t xml:space="preserve">locate witnesses and present other evidence to </w:t>
      </w:r>
      <w:r w:rsidRPr="0052255D" w:rsidR="00C07F6A">
        <w:t xml:space="preserve">challenge the </w:t>
      </w:r>
      <w:r w:rsidRPr="0052255D" w:rsidR="00214FEA">
        <w:t xml:space="preserve">credibility of Carrillo and Quiambao.  </w:t>
      </w:r>
      <w:r w:rsidR="008A5F29">
        <w:t>D</w:t>
      </w:r>
      <w:r w:rsidRPr="0052255D" w:rsidR="00D54FCC">
        <w:t xml:space="preserve">efendant argued that the prosecution </w:t>
      </w:r>
      <w:r w:rsidR="001A360A">
        <w:t xml:space="preserve">possessed </w:t>
      </w:r>
      <w:r w:rsidRPr="0052255D" w:rsidR="00D54FCC">
        <w:t xml:space="preserve">evidence that </w:t>
      </w:r>
      <w:r w:rsidR="008A5F29">
        <w:t xml:space="preserve">he </w:t>
      </w:r>
      <w:r w:rsidRPr="0052255D" w:rsidR="00D54FCC">
        <w:t>was the shooter based on Masubayashi’s statements to police shortly after the shooting occurred, and could have pursued charges at that time</w:t>
      </w:r>
      <w:r w:rsidRPr="0052255D" w:rsidR="002A0287">
        <w:t>.</w:t>
      </w:r>
      <w:r w:rsidRPr="0052255D" w:rsidR="00673869">
        <w:t xml:space="preserve"> </w:t>
      </w:r>
    </w:p>
    <w:p w:rsidR="00380C12" w:rsidRPr="0052255D" w:rsidP="0052255D">
      <w:pPr>
        <w:tabs>
          <w:tab w:val="left" w:pos="1440"/>
        </w:tabs>
        <w:ind w:firstLine="720"/>
      </w:pPr>
      <w:r w:rsidRPr="0052255D">
        <w:t xml:space="preserve">The trial court reserved ruling on the motion until </w:t>
      </w:r>
      <w:r w:rsidR="00ED2D64">
        <w:t xml:space="preserve">the </w:t>
      </w:r>
      <w:r w:rsidRPr="0052255D">
        <w:t xml:space="preserve">conclusion of the </w:t>
      </w:r>
      <w:r w:rsidRPr="0052255D" w:rsidR="006F201A">
        <w:t>penalty phas</w:t>
      </w:r>
      <w:r w:rsidRPr="0052255D" w:rsidR="00455541">
        <w:t>e</w:t>
      </w:r>
      <w:r w:rsidRPr="0052255D">
        <w:t xml:space="preserve">.  </w:t>
      </w:r>
      <w:r w:rsidRPr="0052255D" w:rsidR="003D53FF">
        <w:t xml:space="preserve">Following trial, the court denied </w:t>
      </w:r>
      <w:r w:rsidRPr="0052255D" w:rsidR="00286672">
        <w:t>the motion</w:t>
      </w:r>
      <w:r w:rsidRPr="0052255D" w:rsidR="003D53FF">
        <w:t>,</w:t>
      </w:r>
      <w:r w:rsidRPr="0052255D" w:rsidR="00286672">
        <w:t xml:space="preserve"> </w:t>
      </w:r>
      <w:r w:rsidR="00536456">
        <w:t xml:space="preserve">determining </w:t>
      </w:r>
      <w:r w:rsidRPr="0052255D" w:rsidR="00731F8C">
        <w:t>that</w:t>
      </w:r>
      <w:r w:rsidRPr="0052255D" w:rsidR="00286672">
        <w:t xml:space="preserve"> the </w:t>
      </w:r>
      <w:r w:rsidR="00AA3B10">
        <w:t xml:space="preserve">asserted </w:t>
      </w:r>
      <w:r w:rsidRPr="0052255D" w:rsidR="0074400A">
        <w:t xml:space="preserve">prefiling </w:t>
      </w:r>
      <w:r w:rsidRPr="0052255D" w:rsidR="00286672">
        <w:t xml:space="preserve">delay had not prejudiced defendant.  </w:t>
      </w:r>
      <w:r w:rsidRPr="0052255D" w:rsidR="003B4287">
        <w:t xml:space="preserve">It also found that </w:t>
      </w:r>
      <w:r w:rsidR="009B403B">
        <w:t>any “</w:t>
      </w:r>
      <w:r w:rsidRPr="0052255D" w:rsidR="003B4287">
        <w:t>delay</w:t>
      </w:r>
      <w:r w:rsidR="009B403B">
        <w:t>”</w:t>
      </w:r>
      <w:r w:rsidRPr="0052255D" w:rsidR="003B4287">
        <w:t xml:space="preserve"> was caused by defendant’s flight from the crime scene and subsequent escape to Utah with Carrillo</w:t>
      </w:r>
      <w:r w:rsidRPr="0052255D" w:rsidR="00276500">
        <w:t>;</w:t>
      </w:r>
      <w:r w:rsidRPr="0052255D" w:rsidR="003B4287">
        <w:t xml:space="preserve"> </w:t>
      </w:r>
      <w:r w:rsidRPr="0052255D" w:rsidR="006B2D0F">
        <w:t xml:space="preserve">his </w:t>
      </w:r>
      <w:r w:rsidRPr="0052255D" w:rsidR="003B4287">
        <w:t>procur</w:t>
      </w:r>
      <w:r w:rsidRPr="0052255D" w:rsidR="0074400A">
        <w:t>ement of</w:t>
      </w:r>
      <w:r w:rsidRPr="0052255D" w:rsidR="003B4287">
        <w:t xml:space="preserve"> false identification documents </w:t>
      </w:r>
      <w:r w:rsidRPr="0052255D" w:rsidR="0074400A">
        <w:t xml:space="preserve">and </w:t>
      </w:r>
      <w:r w:rsidRPr="0052255D" w:rsidR="003B4287">
        <w:t xml:space="preserve">threatening witnesses who were involved in the case </w:t>
      </w:r>
      <w:r w:rsidRPr="0052255D" w:rsidR="0074400A">
        <w:t>to get them to say nothing</w:t>
      </w:r>
      <w:r w:rsidRPr="0052255D" w:rsidR="003B4287">
        <w:t xml:space="preserve"> to the police</w:t>
      </w:r>
      <w:r w:rsidRPr="0052255D" w:rsidR="00276500">
        <w:t>;</w:t>
      </w:r>
      <w:r w:rsidRPr="0052255D" w:rsidR="003B4287">
        <w:t xml:space="preserve"> Lee and Chung giving false cross</w:t>
      </w:r>
      <w:r w:rsidR="008A58DD">
        <w:t>-</w:t>
      </w:r>
      <w:r w:rsidRPr="0052255D" w:rsidR="003B4287">
        <w:t>alibis to the police the day after the shooting</w:t>
      </w:r>
      <w:r w:rsidRPr="0052255D" w:rsidR="00276500">
        <w:t xml:space="preserve">; the </w:t>
      </w:r>
      <w:r w:rsidRPr="0052255D" w:rsidR="00496FC2">
        <w:t>initial equivocation of Masubayashi regarding the driver of the Jeep</w:t>
      </w:r>
      <w:r w:rsidRPr="0052255D" w:rsidR="00276500">
        <w:t xml:space="preserve">; </w:t>
      </w:r>
      <w:r w:rsidRPr="0052255D" w:rsidR="003B4287">
        <w:t>and legitimate police investigation in an effort to gather sufficient evidence to prove the case in court beyond a reasonable doubt</w:t>
      </w:r>
      <w:r w:rsidRPr="0052255D" w:rsidR="00CB6C7A">
        <w:t xml:space="preserve">, which was </w:t>
      </w:r>
      <w:r w:rsidRPr="0052255D" w:rsidR="003F1902">
        <w:t>made more difficult</w:t>
      </w:r>
      <w:r w:rsidRPr="0052255D" w:rsidR="00CB6C7A">
        <w:t xml:space="preserve"> because many of </w:t>
      </w:r>
      <w:r w:rsidRPr="0052255D" w:rsidR="003F1902">
        <w:t>the material witnesses were admitted gang members</w:t>
      </w:r>
      <w:r w:rsidRPr="0052255D" w:rsidR="003B4287">
        <w:t xml:space="preserve">.  </w:t>
      </w:r>
    </w:p>
    <w:p w:rsidR="001A006F" w:rsidRPr="0052255D" w:rsidP="0052255D">
      <w:pPr>
        <w:pStyle w:val="Heading4"/>
      </w:pPr>
      <w:bookmarkStart w:id="18" w:name="_Toc94515338"/>
      <w:r w:rsidRPr="0052255D">
        <w:t>b</w:t>
      </w:r>
      <w:r w:rsidRPr="0052255D">
        <w:t>.  Discussion</w:t>
      </w:r>
      <w:bookmarkEnd w:id="18"/>
    </w:p>
    <w:p w:rsidR="00A9216F" w:rsidRPr="0052255D" w:rsidP="0052255D">
      <w:pPr>
        <w:tabs>
          <w:tab w:val="left" w:pos="1440"/>
        </w:tabs>
        <w:ind w:firstLine="720"/>
      </w:pPr>
      <w:r w:rsidRPr="0052255D">
        <w:t>“The due process clauses of the Fifth and Fourteenth Amendments to the United States Constitution and article</w:t>
      </w:r>
      <w:r w:rsidR="00357035">
        <w:t> </w:t>
      </w:r>
      <w:r w:rsidRPr="0052255D">
        <w:t>I, section 15 of the California Constitution protect a defendant from the prejudicial effects of lengthy, unjustified delay between the commission of a crime and the defendant</w:t>
      </w:r>
      <w:r w:rsidRPr="0052255D" w:rsidR="00BF7CB5">
        <w:t>’</w:t>
      </w:r>
      <w:r w:rsidRPr="0052255D">
        <w:t>s arrest and charging.”  (</w:t>
      </w:r>
      <w:r w:rsidRPr="0052255D">
        <w:rPr>
          <w:i/>
          <w:iCs/>
        </w:rPr>
        <w:t>Cowan</w:t>
      </w:r>
      <w:r w:rsidRPr="0052255D" w:rsidR="00484E40">
        <w:t xml:space="preserve">, </w:t>
      </w:r>
      <w:r w:rsidRPr="0052255D" w:rsidR="00484E40">
        <w:rPr>
          <w:i/>
          <w:iCs/>
        </w:rPr>
        <w:t>supra</w:t>
      </w:r>
      <w:r w:rsidRPr="0052255D" w:rsidR="00484E40">
        <w:t>,</w:t>
      </w:r>
      <w:r w:rsidRPr="0052255D">
        <w:rPr>
          <w:i/>
          <w:iCs/>
        </w:rPr>
        <w:t xml:space="preserve"> </w:t>
      </w:r>
      <w:r w:rsidRPr="0052255D">
        <w:t xml:space="preserve">50 Cal.4th </w:t>
      </w:r>
      <w:r w:rsidRPr="0052255D" w:rsidR="00484E40">
        <w:t>at p.</w:t>
      </w:r>
      <w:r w:rsidRPr="0052255D">
        <w:t xml:space="preserve"> </w:t>
      </w:r>
      <w:r w:rsidRPr="0052255D" w:rsidR="00BE6B50">
        <w:t xml:space="preserve">430.)  </w:t>
      </w:r>
      <w:r w:rsidRPr="0052255D" w:rsidR="00534E21">
        <w:t>A defendant seeking to dismiss a charge on this ground must</w:t>
      </w:r>
      <w:r w:rsidRPr="0052255D" w:rsidR="00524A2B">
        <w:t xml:space="preserve"> first</w:t>
      </w:r>
      <w:r w:rsidRPr="0052255D" w:rsidR="00534E21">
        <w:t xml:space="preserve"> demonstrate prejudice arising from the delay</w:t>
      </w:r>
      <w:r w:rsidRPr="0052255D" w:rsidR="00524A2B">
        <w:t>, “such as by showing the loss of a material witness or other missing evidence, or fading memory caused by the lapse of time</w:t>
      </w:r>
      <w:r w:rsidRPr="0052255D" w:rsidR="00534E21">
        <w:t>.</w:t>
      </w:r>
      <w:r w:rsidRPr="0052255D" w:rsidR="00D12F4E">
        <w:t>”</w:t>
      </w:r>
      <w:r w:rsidRPr="0052255D" w:rsidR="00524A2B">
        <w:t xml:space="preserve"> </w:t>
      </w:r>
      <w:r w:rsidRPr="0052255D" w:rsidR="00534E21">
        <w:t xml:space="preserve"> </w:t>
      </w:r>
      <w:r w:rsidRPr="0052255D" w:rsidR="00524A2B">
        <w:t>(</w:t>
      </w:r>
      <w:r w:rsidRPr="0052255D" w:rsidR="00524A2B">
        <w:rPr>
          <w:i/>
          <w:iCs/>
        </w:rPr>
        <w:t xml:space="preserve">People v. Abel </w:t>
      </w:r>
      <w:r w:rsidRPr="0052255D" w:rsidR="00524A2B">
        <w:t xml:space="preserve">(2012) 53 Cal.4th 891, 908, </w:t>
      </w:r>
      <w:r w:rsidRPr="0052255D" w:rsidR="009B0939">
        <w:t>(</w:t>
      </w:r>
      <w:r w:rsidRPr="0052255D" w:rsidR="009B0939">
        <w:rPr>
          <w:i/>
          <w:iCs/>
        </w:rPr>
        <w:t>Abel</w:t>
      </w:r>
      <w:r w:rsidRPr="0052255D" w:rsidR="009B0939">
        <w:t>)</w:t>
      </w:r>
      <w:r w:rsidRPr="0052255D" w:rsidR="00524A2B">
        <w:t>.)  “</w:t>
      </w:r>
      <w:r w:rsidRPr="0052255D" w:rsidR="00FC7DA0">
        <w:t> ‘</w:t>
      </w:r>
      <w:r w:rsidRPr="0052255D" w:rsidR="00524A2B">
        <w:t>T</w:t>
      </w:r>
      <w:r w:rsidRPr="0052255D" w:rsidR="00534E21">
        <w:t>he prosecution may offer justification for the delay, and the court considering a motion to dismiss balances the harm to the defendant against the justification for the delay.’ ”  (</w:t>
      </w:r>
      <w:r w:rsidRPr="0052255D" w:rsidR="00534E21">
        <w:rPr>
          <w:i/>
          <w:iCs/>
        </w:rPr>
        <w:t xml:space="preserve">People v. Nelson </w:t>
      </w:r>
      <w:r w:rsidRPr="0052255D" w:rsidR="00534E21">
        <w:t xml:space="preserve">(2008) 43 Cal.4th 1242, </w:t>
      </w:r>
      <w:r w:rsidRPr="0052255D" w:rsidR="009361EB">
        <w:t>1250</w:t>
      </w:r>
      <w:r w:rsidRPr="0052255D" w:rsidR="009B0939">
        <w:t xml:space="preserve"> (</w:t>
      </w:r>
      <w:r w:rsidRPr="0052255D" w:rsidR="009B0939">
        <w:rPr>
          <w:i/>
          <w:iCs/>
        </w:rPr>
        <w:t>Nelson</w:t>
      </w:r>
      <w:r w:rsidRPr="0052255D" w:rsidR="009B0939">
        <w:t>)</w:t>
      </w:r>
      <w:r w:rsidRPr="0052255D" w:rsidR="00534E21">
        <w:t xml:space="preserve">, quoting </w:t>
      </w:r>
      <w:r w:rsidRPr="0052255D" w:rsidR="00534E21">
        <w:rPr>
          <w:i/>
          <w:iCs/>
        </w:rPr>
        <w:t>People v. Catlin</w:t>
      </w:r>
      <w:r w:rsidRPr="0052255D" w:rsidR="00534E21">
        <w:t xml:space="preserve"> (2001) 26 Cal.4th 81, 107.)</w:t>
      </w:r>
      <w:r w:rsidRPr="0052255D" w:rsidR="00155180">
        <w:t xml:space="preserve">  </w:t>
      </w:r>
      <w:r w:rsidRPr="0052255D" w:rsidR="00124D96">
        <w:t>However, “[i]f the defendant fails to meet his or her burden of showing prejudice, there is no need to determine whether the delay was justified.”  (</w:t>
      </w:r>
      <w:r w:rsidRPr="0052255D" w:rsidR="00124D96">
        <w:rPr>
          <w:i/>
          <w:iCs/>
        </w:rPr>
        <w:t>Abel</w:t>
      </w:r>
      <w:r w:rsidRPr="0052255D" w:rsidR="00124D96">
        <w:t>, at p.</w:t>
      </w:r>
      <w:r w:rsidRPr="0052255D" w:rsidR="00124D96">
        <w:rPr>
          <w:i/>
          <w:iCs/>
        </w:rPr>
        <w:t xml:space="preserve"> </w:t>
      </w:r>
      <w:r w:rsidRPr="0052255D" w:rsidR="00124D96">
        <w:t xml:space="preserve">909; see </w:t>
      </w:r>
      <w:r w:rsidRPr="0052255D" w:rsidR="00124D96">
        <w:rPr>
          <w:i/>
          <w:iCs/>
        </w:rPr>
        <w:t>id.</w:t>
      </w:r>
      <w:r w:rsidR="0000455D">
        <w:t>,</w:t>
      </w:r>
      <w:r w:rsidRPr="0052255D" w:rsidR="00124D96">
        <w:rPr>
          <w:i/>
          <w:iCs/>
        </w:rPr>
        <w:t xml:space="preserve"> </w:t>
      </w:r>
      <w:r w:rsidRPr="0052255D" w:rsidR="00124D96">
        <w:t>at pp.</w:t>
      </w:r>
      <w:r w:rsidR="00C44E18">
        <w:t> </w:t>
      </w:r>
      <w:r w:rsidRPr="0052255D" w:rsidR="00124D96">
        <w:t xml:space="preserve">908–909 [“Prejudice to a defendant from precharging delay is not presumed”].)    </w:t>
      </w:r>
    </w:p>
    <w:p w:rsidR="007B4239" w:rsidRPr="0052255D" w:rsidP="0052255D">
      <w:pPr>
        <w:tabs>
          <w:tab w:val="left" w:pos="1440"/>
        </w:tabs>
        <w:ind w:firstLine="720"/>
        <w:rPr>
          <w:color w:val="000000" w:themeColor="text1"/>
        </w:rPr>
      </w:pPr>
      <w:r w:rsidRPr="0052255D">
        <w:t xml:space="preserve">The state and federal constitutional standards regarding what justifies </w:t>
      </w:r>
      <w:r w:rsidR="00841811">
        <w:t>“</w:t>
      </w:r>
      <w:r w:rsidRPr="0052255D">
        <w:t>delay</w:t>
      </w:r>
      <w:r w:rsidR="00841811">
        <w:t>”</w:t>
      </w:r>
      <w:r w:rsidRPr="0052255D">
        <w:t xml:space="preserve"> differ.  (</w:t>
      </w:r>
      <w:r w:rsidRPr="0052255D">
        <w:rPr>
          <w:i/>
          <w:iCs/>
        </w:rPr>
        <w:t>Nelson</w:t>
      </w:r>
      <w:r w:rsidRPr="0052255D">
        <w:t xml:space="preserve">, </w:t>
      </w:r>
      <w:r w:rsidRPr="0052255D" w:rsidR="009B0939">
        <w:rPr>
          <w:i/>
          <w:iCs/>
        </w:rPr>
        <w:t>supra</w:t>
      </w:r>
      <w:r w:rsidRPr="0052255D" w:rsidR="009B0939">
        <w:t>, 43 Cal.4th</w:t>
      </w:r>
      <w:r w:rsidRPr="0052255D" w:rsidR="009B0939">
        <w:rPr>
          <w:i/>
          <w:iCs/>
        </w:rPr>
        <w:t xml:space="preserve"> </w:t>
      </w:r>
      <w:r w:rsidRPr="0052255D">
        <w:t>at p.</w:t>
      </w:r>
      <w:r w:rsidR="00C44E18">
        <w:t> </w:t>
      </w:r>
      <w:r w:rsidRPr="0052255D">
        <w:t>1251.)</w:t>
      </w:r>
      <w:r w:rsidRPr="0052255D" w:rsidR="00B64B8B">
        <w:t xml:space="preserve">  </w:t>
      </w:r>
      <w:r w:rsidRPr="0052255D" w:rsidR="006A425C">
        <w:t>However, because the law under the California Constitution is at least as favorable to defendant as federal law in this regard, we apply California law to defendant’s claim.</w:t>
      </w:r>
      <w:r w:rsidRPr="0052255D" w:rsidR="00440FE7">
        <w:t xml:space="preserve">  (</w:t>
      </w:r>
      <w:r w:rsidRPr="0052255D" w:rsidR="00440FE7">
        <w:rPr>
          <w:i/>
          <w:iCs/>
        </w:rPr>
        <w:t>Ibid.</w:t>
      </w:r>
      <w:r w:rsidRPr="0052255D" w:rsidR="00440FE7">
        <w:t xml:space="preserve">; </w:t>
      </w:r>
      <w:r w:rsidRPr="0052255D" w:rsidR="00440FE7">
        <w:rPr>
          <w:i/>
          <w:iCs/>
        </w:rPr>
        <w:t>Abel</w:t>
      </w:r>
      <w:r w:rsidRPr="0052255D" w:rsidR="00440FE7">
        <w:t xml:space="preserve">, </w:t>
      </w:r>
      <w:r w:rsidRPr="0052255D" w:rsidR="009B0939">
        <w:rPr>
          <w:i/>
          <w:iCs/>
        </w:rPr>
        <w:t>supra</w:t>
      </w:r>
      <w:r w:rsidRPr="0052255D" w:rsidR="009B0939">
        <w:t>, 53</w:t>
      </w:r>
      <w:r w:rsidRPr="0052255D" w:rsidR="002A2BB4">
        <w:t> </w:t>
      </w:r>
      <w:r w:rsidRPr="0052255D" w:rsidR="009B0939">
        <w:t>Cal.4th</w:t>
      </w:r>
      <w:r w:rsidRPr="0052255D" w:rsidR="009B0939">
        <w:rPr>
          <w:i/>
          <w:iCs/>
        </w:rPr>
        <w:t xml:space="preserve"> </w:t>
      </w:r>
      <w:r w:rsidRPr="0052255D" w:rsidR="00440FE7">
        <w:t>at p. 909, fn. 1</w:t>
      </w:r>
      <w:r w:rsidRPr="0052255D" w:rsidR="00440FE7">
        <w:rPr>
          <w:color w:val="000000" w:themeColor="text1"/>
        </w:rPr>
        <w:t>.)</w:t>
      </w:r>
      <w:r w:rsidRPr="0052255D" w:rsidR="00A9216F">
        <w:rPr>
          <w:color w:val="000000" w:themeColor="text1"/>
        </w:rPr>
        <w:t xml:space="preserve">  </w:t>
      </w:r>
    </w:p>
    <w:p w:rsidR="00937465" w:rsidRPr="0052255D" w:rsidP="0052255D">
      <w:pPr>
        <w:tabs>
          <w:tab w:val="left" w:pos="1440"/>
        </w:tabs>
        <w:ind w:firstLine="720"/>
      </w:pPr>
      <w:r w:rsidRPr="0052255D">
        <w:t>“</w:t>
      </w:r>
      <w:r w:rsidRPr="0052255D" w:rsidR="00CB36F6">
        <w:t>[</w:t>
      </w:r>
      <w:r w:rsidRPr="0052255D">
        <w:t>U</w:t>
      </w:r>
      <w:r w:rsidRPr="0052255D" w:rsidR="00CB36F6">
        <w:t>]</w:t>
      </w:r>
      <w:r w:rsidRPr="0052255D">
        <w:t xml:space="preserve">nder California law, </w:t>
      </w:r>
      <w:r w:rsidRPr="0052255D" w:rsidR="00CB36F6">
        <w:t>negligent, as well as purposeful, delay</w:t>
      </w:r>
      <w:r w:rsidRPr="0052255D">
        <w:t xml:space="preserve"> in bringing charges may, when accompanied by a showing of prejudice, violate due process.”  (</w:t>
      </w:r>
      <w:r w:rsidRPr="0052255D" w:rsidR="00F5156B">
        <w:rPr>
          <w:i/>
          <w:iCs/>
        </w:rPr>
        <w:t>Nelson</w:t>
      </w:r>
      <w:r w:rsidRPr="0052255D" w:rsidR="00F5156B">
        <w:t xml:space="preserve">, </w:t>
      </w:r>
      <w:r w:rsidRPr="0052255D" w:rsidR="00F5156B">
        <w:rPr>
          <w:i/>
          <w:iCs/>
        </w:rPr>
        <w:t>supra</w:t>
      </w:r>
      <w:r w:rsidRPr="0052255D" w:rsidR="00F5156B">
        <w:t>, 43 Cal.4th</w:t>
      </w:r>
      <w:r w:rsidRPr="0052255D" w:rsidR="00F5156B">
        <w:rPr>
          <w:i/>
          <w:iCs/>
        </w:rPr>
        <w:t xml:space="preserve"> </w:t>
      </w:r>
      <w:r w:rsidRPr="0052255D">
        <w:t xml:space="preserve">at p. </w:t>
      </w:r>
      <w:r w:rsidRPr="0052255D" w:rsidR="00107360">
        <w:t>1255.)</w:t>
      </w:r>
      <w:r w:rsidRPr="0052255D" w:rsidR="00E560B1">
        <w:t xml:space="preserve">  </w:t>
      </w:r>
      <w:r w:rsidRPr="0052255D" w:rsidR="007A0680">
        <w:t>“[W]hether the delay was negligent or purposeful is relevant to the balancing process.  Purposeful delay to gain an advantage is totally unjustified, and a relatively weak showing of prejudice would suffice to tip the scales towards finding a due process violation.  If the delay was merely negligent, a greater showing of prejudice would be required to establish a due process violation.”  (</w:t>
      </w:r>
      <w:r w:rsidRPr="0052255D" w:rsidR="00635043">
        <w:rPr>
          <w:i/>
          <w:iCs/>
        </w:rPr>
        <w:t>Id.</w:t>
      </w:r>
      <w:r w:rsidR="0000455D">
        <w:t>,</w:t>
      </w:r>
      <w:r w:rsidRPr="0052255D" w:rsidR="007A0680">
        <w:t xml:space="preserve"> at p. 1256.</w:t>
      </w:r>
      <w:r w:rsidRPr="0052255D" w:rsidR="00E560B1">
        <w:t xml:space="preserve">)  </w:t>
      </w:r>
      <w:r w:rsidRPr="0052255D" w:rsidR="00D13365">
        <w:t xml:space="preserve">“The justification for the delay is strong when there is ‘investigative delay, </w:t>
      </w:r>
      <w:r w:rsidRPr="0052255D" w:rsidR="00641822">
        <w:t xml:space="preserve">[and] </w:t>
      </w:r>
      <w:r w:rsidRPr="0052255D" w:rsidR="00D13365">
        <w:t>nothing else.’ ”  (</w:t>
      </w:r>
      <w:r w:rsidRPr="0052255D" w:rsidR="00D13365">
        <w:rPr>
          <w:i/>
          <w:iCs/>
        </w:rPr>
        <w:t>Cowan</w:t>
      </w:r>
      <w:r w:rsidRPr="0052255D" w:rsidR="00D13365">
        <w:t xml:space="preserve">, </w:t>
      </w:r>
      <w:r w:rsidRPr="0052255D" w:rsidR="002B0C87">
        <w:rPr>
          <w:i/>
          <w:iCs/>
        </w:rPr>
        <w:t>supra</w:t>
      </w:r>
      <w:r w:rsidRPr="0052255D" w:rsidR="002B0C87">
        <w:t xml:space="preserve">, 50 Cal.4th </w:t>
      </w:r>
      <w:r w:rsidRPr="0052255D" w:rsidR="00D13365">
        <w:t>at p.</w:t>
      </w:r>
      <w:r w:rsidRPr="0052255D" w:rsidR="002A2BB4">
        <w:t> </w:t>
      </w:r>
      <w:r w:rsidRPr="0052255D" w:rsidR="00D13365">
        <w:t xml:space="preserve">431.)  </w:t>
      </w:r>
      <w:r w:rsidRPr="0052255D" w:rsidR="00F5156B">
        <w:t>“A</w:t>
      </w:r>
      <w:r w:rsidRPr="0052255D" w:rsidR="007B4239">
        <w:t xml:space="preserve"> court should not second-guess the prosecution’s decision </w:t>
      </w:r>
      <w:r w:rsidR="00C200AB">
        <w:t xml:space="preserve">regarding </w:t>
      </w:r>
      <w:r w:rsidRPr="0052255D" w:rsidR="007B4239">
        <w:t xml:space="preserve">whether sufficient evidence exists to warrant bringing charges.  ‘The due process clause does not permit courts to abort criminal prosecutions simply because they disagree with </w:t>
      </w:r>
      <w:r w:rsidR="00975784">
        <w:t>a</w:t>
      </w:r>
      <w:r w:rsidRPr="0052255D" w:rsidR="00975784">
        <w:t xml:space="preserve"> </w:t>
      </w:r>
      <w:r w:rsidRPr="0052255D" w:rsidR="007B4239">
        <w:t xml:space="preserve">prosecutor’s </w:t>
      </w:r>
      <w:r w:rsidR="00975784">
        <w:t>judgment</w:t>
      </w:r>
      <w:r w:rsidRPr="0052255D" w:rsidR="00975784">
        <w:t xml:space="preserve"> </w:t>
      </w:r>
      <w:r w:rsidRPr="0052255D" w:rsidR="007B4239">
        <w:t>as to when to seek an indictment. . . .  Prosecutors are under no duty to file charges as soon as probable cause exists but before they are satisfied they will be able to establish the suspect</w:t>
      </w:r>
      <w:r w:rsidRPr="0052255D" w:rsidR="00F43A9B">
        <w:t>’</w:t>
      </w:r>
      <w:r w:rsidRPr="0052255D" w:rsidR="007B4239">
        <w:t>s guilt beyond a reasonable doubt.’ ”  (</w:t>
      </w:r>
      <w:r w:rsidRPr="0052255D" w:rsidR="007B4239">
        <w:rPr>
          <w:i/>
          <w:iCs/>
        </w:rPr>
        <w:t>Nelson</w:t>
      </w:r>
      <w:r w:rsidRPr="0052255D" w:rsidR="007B4239">
        <w:t>, at p.</w:t>
      </w:r>
      <w:r w:rsidR="00357035">
        <w:t> </w:t>
      </w:r>
      <w:r w:rsidRPr="0052255D" w:rsidR="007B4239">
        <w:t>1256.)</w:t>
      </w:r>
    </w:p>
    <w:p w:rsidR="002D546A" w:rsidRPr="0052255D" w:rsidP="0052255D">
      <w:pPr>
        <w:tabs>
          <w:tab w:val="left" w:pos="1440"/>
        </w:tabs>
        <w:ind w:firstLine="720"/>
        <w:rPr>
          <w:color w:val="000000" w:themeColor="text1"/>
        </w:rPr>
      </w:pPr>
      <w:r w:rsidRPr="0052255D">
        <w:t>“We review for abuse of discretion a trial court’s ruling on a motion to dismiss for prejudicial prearrest delay [citation], and defer to any underlying factual findings if substantial evidence supports them [citation].”  (</w:t>
      </w:r>
      <w:r w:rsidRPr="0052255D">
        <w:rPr>
          <w:i/>
          <w:iCs/>
        </w:rPr>
        <w:t>Cowan</w:t>
      </w:r>
      <w:r w:rsidRPr="0052255D" w:rsidR="00D225C5">
        <w:t xml:space="preserve">, </w:t>
      </w:r>
      <w:r w:rsidRPr="0052255D" w:rsidR="00D225C5">
        <w:rPr>
          <w:i/>
          <w:iCs/>
        </w:rPr>
        <w:t>supra</w:t>
      </w:r>
      <w:r w:rsidRPr="0052255D" w:rsidR="00D225C5">
        <w:t>,</w:t>
      </w:r>
      <w:r w:rsidRPr="0052255D">
        <w:rPr>
          <w:i/>
          <w:iCs/>
        </w:rPr>
        <w:t xml:space="preserve"> </w:t>
      </w:r>
      <w:r w:rsidRPr="0052255D">
        <w:t xml:space="preserve">50 Cal.4th </w:t>
      </w:r>
      <w:r w:rsidRPr="0052255D" w:rsidR="00D225C5">
        <w:t>at p.</w:t>
      </w:r>
      <w:r w:rsidR="009F3937">
        <w:t> </w:t>
      </w:r>
      <w:r w:rsidRPr="0052255D">
        <w:t xml:space="preserve">431.)  </w:t>
      </w:r>
      <w:r w:rsidRPr="0052255D" w:rsidR="00B84E6B">
        <w:t xml:space="preserve">Because the trial court deferred ruling on defendant’s motion to dismiss until after </w:t>
      </w:r>
      <w:r w:rsidRPr="0052255D" w:rsidR="00D56518">
        <w:t>the trial</w:t>
      </w:r>
      <w:r w:rsidRPr="0052255D" w:rsidR="000671BC">
        <w:t xml:space="preserve"> had concluded, we will consider all evidence that was before the court </w:t>
      </w:r>
      <w:r w:rsidRPr="0052255D" w:rsidR="00BD7139">
        <w:t>up to</w:t>
      </w:r>
      <w:r w:rsidRPr="0052255D" w:rsidR="000671BC">
        <w:t xml:space="preserve"> that time.  (</w:t>
      </w:r>
      <w:r w:rsidRPr="0052255D" w:rsidR="00D225C5">
        <w:rPr>
          <w:i/>
          <w:iCs/>
        </w:rPr>
        <w:t>Ibid.</w:t>
      </w:r>
      <w:r w:rsidRPr="0052255D" w:rsidR="00DB11DC">
        <w:t>)</w:t>
      </w:r>
      <w:r w:rsidRPr="0052255D" w:rsidR="000671BC">
        <w:t xml:space="preserve"> </w:t>
      </w:r>
      <w:r w:rsidRPr="0052255D" w:rsidR="000C2EB5">
        <w:t xml:space="preserve"> Thus, evidence presented at trial may be used to support or reject defendant’s </w:t>
      </w:r>
      <w:r w:rsidRPr="0052255D" w:rsidR="00C77E58">
        <w:t xml:space="preserve">assertion of unjustified </w:t>
      </w:r>
      <w:r w:rsidRPr="0052255D" w:rsidR="00C77E58">
        <w:rPr>
          <w:color w:val="000000" w:themeColor="text1"/>
        </w:rPr>
        <w:t>prejudice.</w:t>
      </w:r>
    </w:p>
    <w:p w:rsidR="003C72C8" w:rsidRPr="0052255D" w:rsidP="0052255D">
      <w:pPr>
        <w:tabs>
          <w:tab w:val="left" w:pos="1440"/>
        </w:tabs>
        <w:ind w:firstLine="720"/>
      </w:pPr>
      <w:r w:rsidRPr="0052255D">
        <w:t xml:space="preserve">Defendant first claims </w:t>
      </w:r>
      <w:r w:rsidRPr="0052255D" w:rsidR="00604B03">
        <w:t>prejudice from</w:t>
      </w:r>
      <w:r w:rsidRPr="0052255D" w:rsidR="00DE4E14">
        <w:t xml:space="preserve"> </w:t>
      </w:r>
      <w:r w:rsidRPr="0052255D" w:rsidR="00604B03">
        <w:t xml:space="preserve">Detective </w:t>
      </w:r>
      <w:r w:rsidRPr="0052255D" w:rsidR="004E202C">
        <w:t xml:space="preserve">Guy </w:t>
      </w:r>
      <w:r w:rsidRPr="0052255D" w:rsidR="00604B03">
        <w:t>Reneau’s unavailability at trial due to health problems</w:t>
      </w:r>
      <w:r w:rsidRPr="0052255D" w:rsidR="003B7E85">
        <w:t>, meaning the defense could not examine him about statements Masubayashi had made</w:t>
      </w:r>
      <w:r w:rsidRPr="0052255D" w:rsidR="009930FD">
        <w:t xml:space="preserve">.  </w:t>
      </w:r>
      <w:r w:rsidRPr="0052255D" w:rsidR="00796AC3">
        <w:t>Detective Reneau was the original lead investigator on the case</w:t>
      </w:r>
      <w:r w:rsidRPr="0052255D" w:rsidR="00E13616">
        <w:t xml:space="preserve">.  </w:t>
      </w:r>
      <w:r w:rsidRPr="0052255D" w:rsidR="000E7DE9">
        <w:t>He had</w:t>
      </w:r>
      <w:r w:rsidRPr="0052255D" w:rsidR="00A2477A">
        <w:t xml:space="preserve"> interviewed </w:t>
      </w:r>
      <w:r w:rsidRPr="0052255D" w:rsidR="009C754C">
        <w:t xml:space="preserve">Masubayashi </w:t>
      </w:r>
      <w:r w:rsidRPr="0052255D" w:rsidR="00A2477A">
        <w:t xml:space="preserve">at the hospital on November 12, 1997, and </w:t>
      </w:r>
      <w:r w:rsidRPr="0052255D" w:rsidR="00D642F1">
        <w:t xml:space="preserve">again </w:t>
      </w:r>
      <w:r w:rsidRPr="0052255D" w:rsidR="009C754C">
        <w:t xml:space="preserve">at Masubayashi’s home on November 18, 1997.  </w:t>
      </w:r>
      <w:r w:rsidRPr="0052255D">
        <w:t>At the hospital, when Reneau first asked Masubayashi who shot him, Masubayashi said, “I don’t, I</w:t>
      </w:r>
      <w:r w:rsidR="00C44E18">
        <w:t> </w:t>
      </w:r>
      <w:r w:rsidRPr="0052255D">
        <w:t xml:space="preserve">don’t know.”  When asked again, Masubayashi said it was defendant.  </w:t>
      </w:r>
      <w:r w:rsidRPr="0052255D" w:rsidR="004903CA">
        <w:t>One week later</w:t>
      </w:r>
      <w:r w:rsidRPr="0052255D" w:rsidR="00CD3FD9">
        <w:t xml:space="preserve">, Masubayashi </w:t>
      </w:r>
      <w:r w:rsidRPr="0052255D" w:rsidR="00A02E81">
        <w:t>told</w:t>
      </w:r>
      <w:r w:rsidRPr="0052255D" w:rsidR="00CD3FD9">
        <w:t xml:space="preserve"> Reneau that </w:t>
      </w:r>
      <w:r w:rsidRPr="0052255D" w:rsidR="005538DD">
        <w:t xml:space="preserve">he </w:t>
      </w:r>
      <w:r w:rsidRPr="0052255D" w:rsidR="0011347E">
        <w:t xml:space="preserve">recalled seeing </w:t>
      </w:r>
      <w:r w:rsidRPr="0052255D" w:rsidR="004B7B1C">
        <w:t>an arm w</w:t>
      </w:r>
      <w:r w:rsidRPr="0052255D" w:rsidR="00023CD3">
        <w:t>ith</w:t>
      </w:r>
      <w:r w:rsidRPr="0052255D" w:rsidR="0011347E">
        <w:t xml:space="preserve"> </w:t>
      </w:r>
      <w:r w:rsidRPr="0052255D" w:rsidR="004B7B1C">
        <w:t>defendant’s</w:t>
      </w:r>
      <w:r w:rsidRPr="0052255D" w:rsidR="0011347E">
        <w:t xml:space="preserve"> flannel</w:t>
      </w:r>
      <w:r w:rsidRPr="0052255D" w:rsidR="00B64615">
        <w:t xml:space="preserve"> shirt</w:t>
      </w:r>
      <w:r w:rsidRPr="0052255D" w:rsidR="002F1611">
        <w:t xml:space="preserve"> inside </w:t>
      </w:r>
      <w:r w:rsidRPr="0052255D" w:rsidR="00023CD3">
        <w:t xml:space="preserve">Masubayashi’s </w:t>
      </w:r>
      <w:r w:rsidRPr="0052255D" w:rsidR="002F1611">
        <w:t>car when he was shot</w:t>
      </w:r>
      <w:r w:rsidRPr="0052255D" w:rsidR="00CD3FD9">
        <w:t>.</w:t>
      </w:r>
      <w:r w:rsidRPr="0052255D" w:rsidR="00CD3FD9">
        <w:rPr>
          <w:color w:val="FF0000"/>
        </w:rPr>
        <w:t xml:space="preserve">  </w:t>
      </w:r>
      <w:r w:rsidRPr="0052255D" w:rsidR="003372D1">
        <w:t>The</w:t>
      </w:r>
      <w:r w:rsidRPr="0052255D" w:rsidR="00FB0DD8">
        <w:t>se</w:t>
      </w:r>
      <w:r w:rsidRPr="0052255D" w:rsidR="003372D1">
        <w:t xml:space="preserve"> interviews were recorded and </w:t>
      </w:r>
      <w:r w:rsidRPr="0052255D" w:rsidR="00FB0DD8">
        <w:t xml:space="preserve">made </w:t>
      </w:r>
      <w:r w:rsidRPr="0052255D" w:rsidR="003372D1">
        <w:t>available to the defense</w:t>
      </w:r>
      <w:r w:rsidRPr="0052255D" w:rsidR="00FB0DD8">
        <w:t xml:space="preserve">.  </w:t>
      </w:r>
      <w:r w:rsidRPr="0052255D" w:rsidR="005A02BC">
        <w:t xml:space="preserve">Reneau was subsequently placed on medical leave and was not among the officers who interviewed Masubayashi when he went to the police in April 2000.  </w:t>
      </w:r>
      <w:r w:rsidRPr="0052255D" w:rsidR="001E49F0">
        <w:t>Notwithstanding Reneau’s absence from trial,</w:t>
      </w:r>
      <w:r w:rsidRPr="0052255D" w:rsidR="00092925">
        <w:t xml:space="preserve"> the defense questioned Masubayashi </w:t>
      </w:r>
      <w:r w:rsidRPr="0052255D" w:rsidR="00800EA5">
        <w:t xml:space="preserve">at </w:t>
      </w:r>
      <w:r w:rsidRPr="0052255D" w:rsidR="001E49F0">
        <w:t xml:space="preserve">the guilt phase </w:t>
      </w:r>
      <w:r w:rsidRPr="0052255D" w:rsidR="00092925">
        <w:t xml:space="preserve">regarding his </w:t>
      </w:r>
      <w:r w:rsidRPr="0052255D" w:rsidR="00800EA5">
        <w:t xml:space="preserve">prior </w:t>
      </w:r>
      <w:r w:rsidRPr="0052255D" w:rsidR="00092925">
        <w:t>statements</w:t>
      </w:r>
      <w:r w:rsidRPr="0052255D" w:rsidR="001E49F0">
        <w:t xml:space="preserve"> to the detective</w:t>
      </w:r>
      <w:r w:rsidRPr="0052255D" w:rsidR="003372D1">
        <w:t xml:space="preserve">. </w:t>
      </w:r>
    </w:p>
    <w:p w:rsidR="002D546A" w:rsidRPr="0052255D" w:rsidP="0052255D">
      <w:pPr>
        <w:tabs>
          <w:tab w:val="left" w:pos="1440"/>
        </w:tabs>
        <w:ind w:firstLine="720"/>
      </w:pPr>
      <w:r w:rsidRPr="0052255D">
        <w:t>W</w:t>
      </w:r>
      <w:r w:rsidRPr="0052255D" w:rsidR="003372D1">
        <w:t xml:space="preserve">e find that defendant has not demonstrated </w:t>
      </w:r>
      <w:r w:rsidRPr="0052255D" w:rsidR="006D605A">
        <w:t xml:space="preserve">that </w:t>
      </w:r>
      <w:r w:rsidR="00694815">
        <w:t xml:space="preserve">the </w:t>
      </w:r>
      <w:r w:rsidR="00E02C5D">
        <w:t xml:space="preserve">passage of time </w:t>
      </w:r>
      <w:r w:rsidR="00F37E80">
        <w:t>between the offenses and filing</w:t>
      </w:r>
      <w:r w:rsidRPr="0052255D" w:rsidR="006D605A">
        <w:t xml:space="preserve"> charges prejudiced him </w:t>
      </w:r>
      <w:r w:rsidRPr="0052255D" w:rsidR="00A04C02">
        <w:t>in this respect</w:t>
      </w:r>
      <w:r w:rsidRPr="0052255D" w:rsidR="0080231E">
        <w:t xml:space="preserve">.  </w:t>
      </w:r>
      <w:r w:rsidRPr="0052255D" w:rsidR="001733B1">
        <w:t>D</w:t>
      </w:r>
      <w:r w:rsidRPr="0052255D" w:rsidR="00CC7045">
        <w:t xml:space="preserve">efendant had access to the taped interviews and </w:t>
      </w:r>
      <w:r w:rsidRPr="0052255D" w:rsidR="00D65CCF">
        <w:t xml:space="preserve">transcripts of </w:t>
      </w:r>
      <w:r w:rsidRPr="0052255D" w:rsidR="00E35B75">
        <w:t xml:space="preserve">Reneau’s </w:t>
      </w:r>
      <w:r w:rsidRPr="0052255D" w:rsidR="00D65CCF">
        <w:t>interviews of Masubayashi</w:t>
      </w:r>
      <w:r w:rsidRPr="0052255D" w:rsidR="00E35B75">
        <w:t xml:space="preserve">, and he questioned Masubayashi extensively </w:t>
      </w:r>
      <w:r w:rsidRPr="0052255D" w:rsidR="0066274D">
        <w:t xml:space="preserve">at trial </w:t>
      </w:r>
      <w:r w:rsidRPr="0052255D" w:rsidR="009C7960">
        <w:t>regarding</w:t>
      </w:r>
      <w:r w:rsidRPr="0052255D" w:rsidR="00E35B75">
        <w:t xml:space="preserve"> his prior statements</w:t>
      </w:r>
      <w:r w:rsidRPr="0052255D" w:rsidR="00FC0D32">
        <w:t xml:space="preserve">.  </w:t>
      </w:r>
      <w:r w:rsidRPr="0052255D" w:rsidR="00BD0AD2">
        <w:t>T</w:t>
      </w:r>
      <w:r w:rsidRPr="0052255D" w:rsidR="005A54FB">
        <w:t>o the extent Masubayashi’s interview with Reneau</w:t>
      </w:r>
      <w:r w:rsidRPr="0052255D" w:rsidR="005A47C2">
        <w:t xml:space="preserve"> conflicted with Masubayashi’s testimony, defendant was able to point out the inconsistencies to the jury without </w:t>
      </w:r>
      <w:r w:rsidRPr="0052255D" w:rsidR="00435F89">
        <w:t>Reneau testifying</w:t>
      </w:r>
      <w:r w:rsidRPr="0052255D" w:rsidR="005A47C2">
        <w:t xml:space="preserve">.  </w:t>
      </w:r>
      <w:r w:rsidRPr="0052255D" w:rsidR="00E9072B">
        <w:t>T</w:t>
      </w:r>
      <w:r w:rsidRPr="0052255D" w:rsidR="002E2704">
        <w:t>o the extent defendant claims that</w:t>
      </w:r>
      <w:r w:rsidRPr="0052255D" w:rsidR="00FC0D32">
        <w:t xml:space="preserve"> Reneau could have shed additional light on </w:t>
      </w:r>
      <w:r w:rsidRPr="0052255D" w:rsidR="00E9072B">
        <w:t xml:space="preserve">Masubayashi’s statements in </w:t>
      </w:r>
      <w:r w:rsidRPr="0052255D" w:rsidR="006439FB">
        <w:t>the taped interviews</w:t>
      </w:r>
      <w:r w:rsidRPr="0052255D" w:rsidR="002E2704">
        <w:t>, his claim is speculati</w:t>
      </w:r>
      <w:r w:rsidR="00DC48FA">
        <w:t>ve</w:t>
      </w:r>
      <w:r w:rsidR="003237A8">
        <w:t xml:space="preserve"> and</w:t>
      </w:r>
      <w:r w:rsidR="00DC48FA">
        <w:t xml:space="preserve"> </w:t>
      </w:r>
      <w:r w:rsidR="00C446D7">
        <w:t xml:space="preserve">unsupported by </w:t>
      </w:r>
      <w:r w:rsidRPr="0052255D" w:rsidR="002E2704">
        <w:t>proof of actual prejudice</w:t>
      </w:r>
      <w:r w:rsidRPr="0052255D" w:rsidR="00A1533E">
        <w:t>.</w:t>
      </w:r>
      <w:r w:rsidRPr="0052255D" w:rsidR="00895882">
        <w:rPr>
          <w:color w:val="000000" w:themeColor="text1"/>
        </w:rPr>
        <w:t xml:space="preserve">  </w:t>
      </w:r>
      <w:r w:rsidRPr="0052255D" w:rsidR="00895882">
        <w:t>(</w:t>
      </w:r>
      <w:r w:rsidRPr="0052255D" w:rsidR="00895882">
        <w:rPr>
          <w:i/>
          <w:iCs/>
        </w:rPr>
        <w:t xml:space="preserve">People v. Alexander </w:t>
      </w:r>
      <w:r w:rsidRPr="0052255D" w:rsidR="00895882">
        <w:t>(2010) 49</w:t>
      </w:r>
      <w:r w:rsidRPr="0052255D" w:rsidR="002A2BB4">
        <w:t> </w:t>
      </w:r>
      <w:r w:rsidRPr="0052255D" w:rsidR="00895882">
        <w:t xml:space="preserve">Cal.4th 846, </w:t>
      </w:r>
      <w:r w:rsidRPr="0052255D" w:rsidR="0007543D">
        <w:t>875</w:t>
      </w:r>
      <w:r w:rsidRPr="0052255D" w:rsidR="00A41BC8">
        <w:t xml:space="preserve"> (</w:t>
      </w:r>
      <w:r w:rsidRPr="0052255D" w:rsidR="00A41BC8">
        <w:rPr>
          <w:i/>
          <w:iCs/>
        </w:rPr>
        <w:t>Alexander</w:t>
      </w:r>
      <w:r w:rsidRPr="0052255D" w:rsidR="00A41BC8">
        <w:t>)</w:t>
      </w:r>
      <w:r w:rsidRPr="0052255D" w:rsidR="0007543D">
        <w:t>.)</w:t>
      </w:r>
    </w:p>
    <w:p w:rsidR="000A29A6" w:rsidRPr="0052255D" w:rsidP="0052255D">
      <w:pPr>
        <w:tabs>
          <w:tab w:val="left" w:pos="1440"/>
        </w:tabs>
        <w:ind w:firstLine="720"/>
      </w:pPr>
      <w:r w:rsidRPr="0052255D">
        <w:t xml:space="preserve">Defendant further complains that the </w:t>
      </w:r>
      <w:r w:rsidR="00054A86">
        <w:t xml:space="preserve">passage of time before </w:t>
      </w:r>
      <w:r w:rsidRPr="0052255D">
        <w:t>charg</w:t>
      </w:r>
      <w:r w:rsidR="00054A86">
        <w:t xml:space="preserve">es </w:t>
      </w:r>
      <w:r w:rsidR="006905D1">
        <w:t xml:space="preserve">were brought </w:t>
      </w:r>
      <w:r w:rsidRPr="0052255D">
        <w:t xml:space="preserve">prevented him from acquiring evidence to impeach Carrillo’s and Quiambao’s credibility.  </w:t>
      </w:r>
      <w:r w:rsidRPr="0052255D" w:rsidR="0088076D">
        <w:t>In the trial court, defense counsel alleged that Carrillo was “engaged in various nefarious activities including bank fraud, money laundering, drug manufacturing and drug sales,” but th</w:t>
      </w:r>
      <w:r w:rsidR="00B24521">
        <w:t>e</w:t>
      </w:r>
      <w:r w:rsidRPr="0052255D" w:rsidR="0088076D">
        <w:t xml:space="preserve"> </w:t>
      </w:r>
      <w:r w:rsidR="006905D1">
        <w:t xml:space="preserve">asserted </w:t>
      </w:r>
      <w:r w:rsidRPr="0052255D" w:rsidR="0088076D">
        <w:t>prefiling delay prevented the defense from “locating and interviewing witnesses who could offer evidence attacking his credibility by showing his character for dishonesty, the existence of his bias interest, and motive against defendant</w:t>
      </w:r>
      <w:r w:rsidR="00453E43">
        <w:t> </w:t>
      </w:r>
      <w:r w:rsidRPr="0052255D" w:rsidR="0088076D">
        <w:t>.</w:t>
      </w:r>
      <w:r w:rsidR="001A6768">
        <w:t> </w:t>
      </w:r>
      <w:r w:rsidRPr="0052255D" w:rsidR="0088076D">
        <w:t>.</w:t>
      </w:r>
      <w:r w:rsidR="001A6768">
        <w:t> </w:t>
      </w:r>
      <w:r w:rsidRPr="0052255D" w:rsidR="0088076D">
        <w:t>.</w:t>
      </w:r>
      <w:r w:rsidR="001A6768">
        <w:t> </w:t>
      </w:r>
      <w:r w:rsidRPr="0052255D" w:rsidR="0088076D">
        <w:t xml:space="preserve">.”  </w:t>
      </w:r>
      <w:r w:rsidR="00FF447B">
        <w:t>Defense c</w:t>
      </w:r>
      <w:r w:rsidRPr="0052255D" w:rsidR="0088076D">
        <w:t xml:space="preserve">ounsel alleged that </w:t>
      </w:r>
      <w:r w:rsidR="0036740E">
        <w:t xml:space="preserve">in light of </w:t>
      </w:r>
      <w:r w:rsidRPr="0052255D" w:rsidR="0088076D">
        <w:t xml:space="preserve">“the substantial delay in prosecution, the defense is unable to locate and interview Quiambao because he has changed his life around and joined the United States Navy and is geographically unavailable to the defense.”  </w:t>
      </w:r>
      <w:r w:rsidRPr="0052255D">
        <w:t>Th</w:t>
      </w:r>
      <w:r w:rsidRPr="0052255D" w:rsidR="00BF35B0">
        <w:t>ese</w:t>
      </w:r>
      <w:r w:rsidRPr="0052255D">
        <w:t xml:space="preserve"> speculative claim</w:t>
      </w:r>
      <w:r w:rsidRPr="0052255D" w:rsidR="00BF35B0">
        <w:t>s</w:t>
      </w:r>
      <w:r w:rsidRPr="0052255D">
        <w:t xml:space="preserve"> do not amount to a showing of actual prejudice.  </w:t>
      </w:r>
      <w:r w:rsidRPr="0052255D" w:rsidR="00B766BF">
        <w:t>(</w:t>
      </w:r>
      <w:r w:rsidRPr="0052255D" w:rsidR="00A01CC3">
        <w:rPr>
          <w:i/>
          <w:iCs/>
        </w:rPr>
        <w:t>People v. Jones</w:t>
      </w:r>
      <w:r w:rsidRPr="0052255D" w:rsidR="00A01CC3">
        <w:t xml:space="preserve"> (2013) 57 Cal.4th 899, 92</w:t>
      </w:r>
      <w:r w:rsidRPr="0052255D" w:rsidR="008C47C4">
        <w:t>3</w:t>
      </w:r>
      <w:r w:rsidRPr="0052255D" w:rsidR="00A01CC3">
        <w:t xml:space="preserve">.)  </w:t>
      </w:r>
      <w:r w:rsidRPr="0052255D">
        <w:t xml:space="preserve">Moreover, </w:t>
      </w:r>
      <w:r w:rsidRPr="0052255D" w:rsidR="00C60607">
        <w:t xml:space="preserve">Carrillo and Quiambao testified at trial and </w:t>
      </w:r>
      <w:r w:rsidRPr="0052255D">
        <w:t xml:space="preserve">defense </w:t>
      </w:r>
      <w:r w:rsidRPr="0052255D" w:rsidR="00C60607">
        <w:t xml:space="preserve">counsel was able to </w:t>
      </w:r>
      <w:r w:rsidRPr="0052255D">
        <w:t xml:space="preserve">challenge </w:t>
      </w:r>
      <w:r w:rsidRPr="0052255D" w:rsidR="00C60607">
        <w:t>their</w:t>
      </w:r>
      <w:r w:rsidRPr="0052255D">
        <w:t xml:space="preserve"> credibility through their prior inconsistent statements, habitual drug use, and gang involvement.  </w:t>
      </w:r>
    </w:p>
    <w:p w:rsidR="005B602A" w:rsidRPr="0052255D" w:rsidP="0052255D">
      <w:pPr>
        <w:tabs>
          <w:tab w:val="left" w:pos="1440"/>
        </w:tabs>
        <w:ind w:firstLine="720"/>
      </w:pPr>
      <w:r w:rsidRPr="0052255D">
        <w:t>Defendant argues that the</w:t>
      </w:r>
      <w:r w:rsidR="00CC7654">
        <w:t xml:space="preserve"> </w:t>
      </w:r>
      <w:r w:rsidR="00CD5860">
        <w:t>asserted prefiling delay</w:t>
      </w:r>
      <w:r w:rsidR="00280E25">
        <w:t xml:space="preserve"> </w:t>
      </w:r>
      <w:r w:rsidRPr="0052255D">
        <w:t xml:space="preserve">caused eyewitness Matthew Towne to become </w:t>
      </w:r>
      <w:r w:rsidRPr="0052255D" w:rsidR="00E07709">
        <w:t>un</w:t>
      </w:r>
      <w:r w:rsidRPr="0052255D">
        <w:t xml:space="preserve">available </w:t>
      </w:r>
      <w:r w:rsidRPr="0052255D" w:rsidR="000D5291">
        <w:t xml:space="preserve">to testify </w:t>
      </w:r>
      <w:r w:rsidRPr="0052255D" w:rsidR="00E07709">
        <w:t xml:space="preserve">at </w:t>
      </w:r>
      <w:r w:rsidRPr="0052255D" w:rsidR="000D5291">
        <w:t xml:space="preserve">the guilt phase of </w:t>
      </w:r>
      <w:r w:rsidRPr="0052255D">
        <w:t xml:space="preserve">trial.  </w:t>
      </w:r>
      <w:r w:rsidRPr="0052255D" w:rsidR="009062BA">
        <w:t>As noted previously, Towne</w:t>
      </w:r>
      <w:r w:rsidR="00FF447B">
        <w:t xml:space="preserve"> was one of three bystanders positioned</w:t>
      </w:r>
      <w:r w:rsidRPr="0052255D" w:rsidR="003F7FB1">
        <w:t xml:space="preserve"> </w:t>
      </w:r>
      <w:r w:rsidRPr="0052255D" w:rsidR="00FC5349">
        <w:t xml:space="preserve">outside of the </w:t>
      </w:r>
      <w:r w:rsidRPr="0052255D" w:rsidR="00FC5349">
        <w:rPr>
          <w:u w:color="FF0000"/>
        </w:rPr>
        <w:t>Gateway Urgent Care Clinic</w:t>
      </w:r>
      <w:r w:rsidR="00FF447B">
        <w:rPr>
          <w:u w:color="FF0000"/>
        </w:rPr>
        <w:t xml:space="preserve"> who saw</w:t>
      </w:r>
      <w:r w:rsidRPr="0052255D" w:rsidR="003F7FB1">
        <w:t xml:space="preserve"> the shoot</w:t>
      </w:r>
      <w:r w:rsidR="00FF447B">
        <w:t>er</w:t>
      </w:r>
      <w:r w:rsidRPr="0052255D" w:rsidR="00FC5349">
        <w:rPr>
          <w:u w:color="FF0000"/>
        </w:rPr>
        <w:t xml:space="preserve">. </w:t>
      </w:r>
      <w:r w:rsidRPr="0052255D" w:rsidR="004065D0">
        <w:rPr>
          <w:u w:color="FF0000"/>
        </w:rPr>
        <w:t xml:space="preserve"> </w:t>
      </w:r>
      <w:r w:rsidRPr="0052255D" w:rsidR="0009512C">
        <w:t xml:space="preserve">According to </w:t>
      </w:r>
      <w:r w:rsidR="00FF447B">
        <w:t>defense counsel’s offers of proof made at the guilt and penalty phases</w:t>
      </w:r>
      <w:r w:rsidRPr="0052255D" w:rsidR="0015622E">
        <w:t xml:space="preserve"> (the circumstances surrounding which will be described in more detail </w:t>
      </w:r>
      <w:r w:rsidRPr="0052255D" w:rsidR="0015622E">
        <w:rPr>
          <w:i/>
          <w:iCs/>
        </w:rPr>
        <w:t>post</w:t>
      </w:r>
      <w:r w:rsidRPr="0052255D" w:rsidR="0015622E">
        <w:t>)</w:t>
      </w:r>
      <w:r w:rsidRPr="0052255D" w:rsidR="00593C3D">
        <w:t xml:space="preserve">, </w:t>
      </w:r>
      <w:r w:rsidRPr="0052255D">
        <w:t xml:space="preserve">Towne would have testified </w:t>
      </w:r>
      <w:r w:rsidRPr="0052255D" w:rsidR="00E01772">
        <w:t xml:space="preserve">that </w:t>
      </w:r>
      <w:r w:rsidRPr="0052255D" w:rsidR="00593C3D">
        <w:t>he saw a</w:t>
      </w:r>
      <w:r w:rsidRPr="0052255D" w:rsidR="00EA26AC">
        <w:t xml:space="preserve"> shooter </w:t>
      </w:r>
      <w:r w:rsidRPr="0052255D" w:rsidR="00593C3D">
        <w:t>with</w:t>
      </w:r>
      <w:r w:rsidRPr="0052255D" w:rsidR="00794519">
        <w:t xml:space="preserve"> a thin build</w:t>
      </w:r>
      <w:r w:rsidRPr="0052255D" w:rsidR="00A41BC8">
        <w:t xml:space="preserve"> </w:t>
      </w:r>
      <w:r w:rsidRPr="0052255D" w:rsidR="00A9715A">
        <w:t>in the parking lot across the street</w:t>
      </w:r>
      <w:r w:rsidRPr="0052255D" w:rsidR="009432D3">
        <w:t xml:space="preserve">.  </w:t>
      </w:r>
      <w:r w:rsidRPr="0052255D" w:rsidR="00C240F6">
        <w:t xml:space="preserve">At the time of the shooting, </w:t>
      </w:r>
      <w:r w:rsidRPr="0052255D" w:rsidR="00452E40">
        <w:t>defendant weighed more than 300 pounds</w:t>
      </w:r>
      <w:r w:rsidRPr="0052255D" w:rsidR="00460CD8">
        <w:t xml:space="preserve">; Carrillo was closer to 160 pounds.  </w:t>
      </w:r>
    </w:p>
    <w:p w:rsidR="00CE53F0" w:rsidRPr="0052255D" w:rsidP="0052255D">
      <w:pPr>
        <w:tabs>
          <w:tab w:val="left" w:pos="1440"/>
        </w:tabs>
        <w:ind w:firstLine="720"/>
        <w:rPr>
          <w:color w:val="000000" w:themeColor="text1"/>
        </w:rPr>
      </w:pPr>
      <w:r w:rsidRPr="0052255D">
        <w:t>W</w:t>
      </w:r>
      <w:r w:rsidRPr="0052255D" w:rsidR="00022568">
        <w:t xml:space="preserve">e </w:t>
      </w:r>
      <w:r w:rsidRPr="0052255D" w:rsidR="00954988">
        <w:t>conclude</w:t>
      </w:r>
      <w:r w:rsidRPr="0052255D" w:rsidR="00022568">
        <w:t xml:space="preserve"> that </w:t>
      </w:r>
      <w:r w:rsidRPr="0052255D" w:rsidR="00E43A60">
        <w:t xml:space="preserve">Towne’s unavailability </w:t>
      </w:r>
      <w:r w:rsidRPr="0052255D" w:rsidR="005B602A">
        <w:t xml:space="preserve">at the guilt phase of trial </w:t>
      </w:r>
      <w:r w:rsidRPr="0052255D" w:rsidR="00E43A60">
        <w:t xml:space="preserve">was not caused by </w:t>
      </w:r>
      <w:r w:rsidRPr="0052255D" w:rsidR="007F5256">
        <w:t xml:space="preserve">any </w:t>
      </w:r>
      <w:r w:rsidRPr="0052255D" w:rsidR="00E43A60">
        <w:t>delay in bringing the charges</w:t>
      </w:r>
      <w:r w:rsidRPr="0052255D" w:rsidR="002671B1">
        <w:t xml:space="preserve">.  </w:t>
      </w:r>
      <w:r w:rsidRPr="0052255D" w:rsidR="003E153A">
        <w:t xml:space="preserve">Rather, </w:t>
      </w:r>
      <w:r w:rsidRPr="0052255D" w:rsidR="002C1EAE">
        <w:t>the defense temporarily lost communication</w:t>
      </w:r>
      <w:r w:rsidRPr="0052255D" w:rsidR="0064341F">
        <w:t xml:space="preserve"> </w:t>
      </w:r>
      <w:r w:rsidRPr="0052255D" w:rsidR="002C1EAE">
        <w:t xml:space="preserve">with Towne </w:t>
      </w:r>
      <w:r w:rsidRPr="0052255D" w:rsidR="000856E0">
        <w:t>sometime</w:t>
      </w:r>
      <w:r w:rsidRPr="0052255D" w:rsidR="002C1EAE">
        <w:t xml:space="preserve"> </w:t>
      </w:r>
      <w:r w:rsidRPr="0052255D" w:rsidR="002C1EAE">
        <w:rPr>
          <w:i/>
          <w:iCs/>
        </w:rPr>
        <w:t>after</w:t>
      </w:r>
      <w:r w:rsidRPr="0052255D" w:rsidR="002C1EAE">
        <w:t xml:space="preserve"> charges were filed</w:t>
      </w:r>
      <w:r w:rsidRPr="0052255D" w:rsidR="002E456E">
        <w:t>, for reasons having no apparent connection to any pretrial delay</w:t>
      </w:r>
      <w:r w:rsidRPr="0052255D" w:rsidR="002C1EAE">
        <w:t xml:space="preserve">.  </w:t>
      </w:r>
      <w:r w:rsidRPr="0052255D" w:rsidR="00CB1AF1">
        <w:t>A</w:t>
      </w:r>
      <w:r w:rsidRPr="0052255D" w:rsidR="002B4F3D">
        <w:t xml:space="preserve"> private investigator for the </w:t>
      </w:r>
      <w:r w:rsidRPr="0052255D" w:rsidR="009C6A08">
        <w:t xml:space="preserve">defense </w:t>
      </w:r>
      <w:r w:rsidRPr="0052255D" w:rsidR="002C1EAE">
        <w:t xml:space="preserve">first </w:t>
      </w:r>
      <w:r w:rsidRPr="0052255D" w:rsidR="009C6A08">
        <w:t xml:space="preserve">contacted Towne in February 2004, </w:t>
      </w:r>
      <w:r w:rsidRPr="0052255D" w:rsidR="00FB69E9">
        <w:t>more than two</w:t>
      </w:r>
      <w:r w:rsidRPr="0052255D" w:rsidR="0064341F">
        <w:t xml:space="preserve"> years after defendant had been charged, </w:t>
      </w:r>
      <w:r w:rsidRPr="0052255D" w:rsidR="00594592">
        <w:t xml:space="preserve">at which time Towne agreed to testify whenever necessary.  </w:t>
      </w:r>
      <w:r w:rsidRPr="0052255D" w:rsidR="00B0598A">
        <w:t xml:space="preserve">In November 2004, Towne moved from Indiana to </w:t>
      </w:r>
      <w:r w:rsidRPr="0052255D" w:rsidR="000D0F83">
        <w:t>Nevada</w:t>
      </w:r>
      <w:r w:rsidRPr="0052255D" w:rsidR="00B0598A">
        <w:t xml:space="preserve">, and </w:t>
      </w:r>
      <w:r w:rsidRPr="0052255D" w:rsidR="000D0F83">
        <w:t xml:space="preserve">he </w:t>
      </w:r>
      <w:r w:rsidRPr="0052255D" w:rsidR="00B0598A">
        <w:t xml:space="preserve">provided </w:t>
      </w:r>
      <w:r w:rsidRPr="0052255D" w:rsidR="000D0F83">
        <w:t xml:space="preserve">the </w:t>
      </w:r>
      <w:r w:rsidRPr="0052255D" w:rsidR="002B4F3D">
        <w:t>investigator</w:t>
      </w:r>
      <w:r w:rsidRPr="0052255D" w:rsidR="000D0F83">
        <w:t xml:space="preserve"> with a current address and telephone number.  </w:t>
      </w:r>
      <w:r w:rsidRPr="0052255D" w:rsidR="002B4F3D">
        <w:t xml:space="preserve">The investigator conducted </w:t>
      </w:r>
      <w:r w:rsidRPr="0052255D" w:rsidR="005427F0">
        <w:t xml:space="preserve">a second </w:t>
      </w:r>
      <w:r w:rsidRPr="0052255D" w:rsidR="00572426">
        <w:t xml:space="preserve">recorded </w:t>
      </w:r>
      <w:r w:rsidRPr="0052255D" w:rsidR="005427F0">
        <w:t xml:space="preserve">interview with Towne </w:t>
      </w:r>
      <w:r w:rsidRPr="0052255D" w:rsidR="00572426">
        <w:t xml:space="preserve">by </w:t>
      </w:r>
      <w:r w:rsidRPr="0052255D" w:rsidR="005427F0">
        <w:t xml:space="preserve">telephone on January 15, 2005.  </w:t>
      </w:r>
      <w:r w:rsidRPr="0052255D" w:rsidR="000D0F83">
        <w:t xml:space="preserve">However, </w:t>
      </w:r>
      <w:r w:rsidRPr="0052255D" w:rsidR="00FB52EC">
        <w:t xml:space="preserve">in April 2005, </w:t>
      </w:r>
      <w:r w:rsidRPr="0052255D" w:rsidR="0001055E">
        <w:t xml:space="preserve">the </w:t>
      </w:r>
      <w:r w:rsidRPr="0052255D" w:rsidR="002B4F3D">
        <w:t xml:space="preserve">investigator </w:t>
      </w:r>
      <w:r w:rsidRPr="0052255D" w:rsidR="009B4D93">
        <w:t>was unable to reach Towne</w:t>
      </w:r>
      <w:r w:rsidRPr="0052255D" w:rsidR="009A5668">
        <w:t xml:space="preserve"> using the number provided</w:t>
      </w:r>
      <w:r w:rsidR="009831D1">
        <w:t>,</w:t>
      </w:r>
      <w:r w:rsidRPr="0052255D" w:rsidR="009A5668">
        <w:t xml:space="preserve"> </w:t>
      </w:r>
      <w:r w:rsidRPr="0052255D" w:rsidR="00FB52EC">
        <w:t xml:space="preserve">and </w:t>
      </w:r>
      <w:r w:rsidRPr="0052255D" w:rsidR="00E72E55">
        <w:t xml:space="preserve">he </w:t>
      </w:r>
      <w:r w:rsidRPr="0052255D" w:rsidR="00FB52EC">
        <w:t xml:space="preserve">did not regain contact </w:t>
      </w:r>
      <w:r w:rsidRPr="0052255D" w:rsidR="008C28FE">
        <w:t xml:space="preserve">with Towne </w:t>
      </w:r>
      <w:r w:rsidRPr="0052255D" w:rsidR="00FB52EC">
        <w:t xml:space="preserve">until August 2005.  </w:t>
      </w:r>
      <w:r w:rsidRPr="0052255D" w:rsidR="00765EAB">
        <w:t>At a hearing on the motion</w:t>
      </w:r>
      <w:r w:rsidRPr="0052255D" w:rsidR="00534108">
        <w:t xml:space="preserve"> to dismiss</w:t>
      </w:r>
      <w:r w:rsidRPr="0052255D" w:rsidR="0093157F">
        <w:t>,</w:t>
      </w:r>
      <w:r w:rsidRPr="0052255D" w:rsidR="00765EAB">
        <w:t xml:space="preserve"> t</w:t>
      </w:r>
      <w:r w:rsidRPr="0052255D" w:rsidR="008C28FE">
        <w:t>he</w:t>
      </w:r>
      <w:r w:rsidRPr="0052255D" w:rsidR="005C0CC9">
        <w:t xml:space="preserve"> </w:t>
      </w:r>
      <w:r w:rsidRPr="0052255D" w:rsidR="008C28FE">
        <w:t xml:space="preserve">investigator </w:t>
      </w:r>
      <w:r w:rsidRPr="0052255D" w:rsidR="005C0CC9">
        <w:t>stat</w:t>
      </w:r>
      <w:r w:rsidRPr="0052255D" w:rsidR="00082A0E">
        <w:t>ed</w:t>
      </w:r>
      <w:r w:rsidRPr="0052255D" w:rsidR="00161111">
        <w:t xml:space="preserve"> that he </w:t>
      </w:r>
      <w:r w:rsidRPr="0052255D" w:rsidR="005D7726">
        <w:t xml:space="preserve">chose not to compel Towne’s attendance at trial through interstate compact because </w:t>
      </w:r>
      <w:r w:rsidRPr="0052255D" w:rsidR="00AC292B">
        <w:t>Towne</w:t>
      </w:r>
      <w:r w:rsidRPr="0052255D" w:rsidR="005D7726">
        <w:t xml:space="preserve"> had always been a cooperative witness</w:t>
      </w:r>
      <w:r w:rsidRPr="0052255D" w:rsidR="009C01D1">
        <w:t xml:space="preserve"> and the investigator </w:t>
      </w:r>
      <w:r w:rsidRPr="0052255D" w:rsidR="0028455A">
        <w:t xml:space="preserve">thought </w:t>
      </w:r>
      <w:r w:rsidRPr="0052255D" w:rsidR="00A06F8D">
        <w:t xml:space="preserve">compulsion </w:t>
      </w:r>
      <w:r w:rsidRPr="0052255D" w:rsidR="0028455A">
        <w:t xml:space="preserve">was </w:t>
      </w:r>
      <w:r w:rsidRPr="0052255D" w:rsidR="00666054">
        <w:t xml:space="preserve">unnecessary </w:t>
      </w:r>
      <w:r w:rsidRPr="0052255D" w:rsidR="0028455A">
        <w:t>and would only alienate Towne</w:t>
      </w:r>
      <w:r w:rsidRPr="0052255D" w:rsidR="005D7726">
        <w:t xml:space="preserve">.  </w:t>
      </w:r>
      <w:r w:rsidRPr="0052255D" w:rsidR="00DF3877">
        <w:t>Thus, even assuming Towne’s testimony could have served any evidentiary purpose, n</w:t>
      </w:r>
      <w:r w:rsidRPr="0052255D" w:rsidR="00AC292B">
        <w:t xml:space="preserve">o connection exists between Towne’s unavailability and the </w:t>
      </w:r>
      <w:r w:rsidR="009F3F87">
        <w:t xml:space="preserve">passage of time before </w:t>
      </w:r>
      <w:r w:rsidRPr="0052255D" w:rsidR="00AC292B">
        <w:t>bringing the charges</w:t>
      </w:r>
      <w:r w:rsidRPr="0052255D" w:rsidR="000A077A">
        <w:t>.</w:t>
      </w:r>
      <w:r w:rsidRPr="0052255D" w:rsidR="00552932">
        <w:t xml:space="preserve">  (</w:t>
      </w:r>
      <w:r w:rsidRPr="0052255D" w:rsidR="00552932">
        <w:rPr>
          <w:i/>
          <w:iCs/>
        </w:rPr>
        <w:t>Alexander</w:t>
      </w:r>
      <w:r w:rsidRPr="0052255D" w:rsidR="00552932">
        <w:t xml:space="preserve">, </w:t>
      </w:r>
      <w:r w:rsidRPr="0052255D" w:rsidR="00552932">
        <w:rPr>
          <w:i/>
          <w:iCs/>
        </w:rPr>
        <w:t>supra</w:t>
      </w:r>
      <w:r w:rsidRPr="0052255D" w:rsidR="00552932">
        <w:t xml:space="preserve">, </w:t>
      </w:r>
      <w:r w:rsidRPr="0052255D" w:rsidR="00D20EB2">
        <w:t xml:space="preserve">49 Cal.4th </w:t>
      </w:r>
      <w:r w:rsidRPr="0052255D" w:rsidR="00552932">
        <w:t xml:space="preserve">at p. </w:t>
      </w:r>
      <w:r w:rsidRPr="0052255D" w:rsidR="00D20EB2">
        <w:t>877.)</w:t>
      </w:r>
    </w:p>
    <w:p w:rsidR="00465CCE" w:rsidRPr="0052255D" w:rsidP="0052255D">
      <w:pPr>
        <w:tabs>
          <w:tab w:val="left" w:pos="1440"/>
        </w:tabs>
        <w:ind w:firstLine="720"/>
      </w:pPr>
      <w:r w:rsidRPr="0052255D">
        <w:t xml:space="preserve">Defendant next contends </w:t>
      </w:r>
      <w:r w:rsidRPr="0052255D" w:rsidR="00EB7F30">
        <w:t xml:space="preserve">the </w:t>
      </w:r>
      <w:r w:rsidR="000F7532">
        <w:t xml:space="preserve">asserted </w:t>
      </w:r>
      <w:r w:rsidRPr="0052255D" w:rsidR="00EB7F30">
        <w:t xml:space="preserve">prefiling delay impaired </w:t>
      </w:r>
      <w:r w:rsidRPr="0052255D" w:rsidR="00C60607">
        <w:t xml:space="preserve">the defense effort to call witness </w:t>
      </w:r>
      <w:r w:rsidRPr="0052255D" w:rsidR="00EB7F30">
        <w:t xml:space="preserve">Perdon </w:t>
      </w:r>
      <w:r w:rsidRPr="0052255D" w:rsidR="00C60607">
        <w:t>to testify that</w:t>
      </w:r>
      <w:r w:rsidRPr="0052255D" w:rsidR="00EB7F30">
        <w:t xml:space="preserve"> defendant</w:t>
      </w:r>
      <w:r w:rsidRPr="0052255D" w:rsidR="005E09C9">
        <w:t xml:space="preserve"> </w:t>
      </w:r>
      <w:r w:rsidRPr="0052255D" w:rsidR="00C60607">
        <w:t xml:space="preserve">never </w:t>
      </w:r>
      <w:r w:rsidRPr="0052255D" w:rsidR="005E09C9">
        <w:t xml:space="preserve">made </w:t>
      </w:r>
      <w:r w:rsidRPr="0052255D" w:rsidR="00C60607">
        <w:t xml:space="preserve">a </w:t>
      </w:r>
      <w:r w:rsidRPr="0052255D" w:rsidR="005E09C9">
        <w:t xml:space="preserve">comment to her </w:t>
      </w:r>
      <w:r w:rsidRPr="0052255D" w:rsidR="00E743BB">
        <w:t xml:space="preserve">in which he bragged </w:t>
      </w:r>
      <w:r w:rsidRPr="0052255D" w:rsidR="005E09C9">
        <w:t xml:space="preserve">about shooting Johnson.  </w:t>
      </w:r>
      <w:r w:rsidRPr="0052255D" w:rsidR="00D37C4B">
        <w:t xml:space="preserve">As </w:t>
      </w:r>
      <w:r w:rsidRPr="0052255D" w:rsidR="005C0117">
        <w:t xml:space="preserve">will be </w:t>
      </w:r>
      <w:r w:rsidRPr="0052255D" w:rsidR="00D37C4B">
        <w:t xml:space="preserve">described </w:t>
      </w:r>
      <w:r w:rsidRPr="0052255D" w:rsidR="00D37C4B">
        <w:rPr>
          <w:i/>
          <w:iCs/>
        </w:rPr>
        <w:t>post</w:t>
      </w:r>
      <w:r w:rsidRPr="0052255D" w:rsidR="00D37C4B">
        <w:t xml:space="preserve">, </w:t>
      </w:r>
      <w:r w:rsidRPr="0052255D" w:rsidR="007A050B">
        <w:t xml:space="preserve">defendant’s alleged statement to Perdon, which Perdon then relayed to Masubayashi, was admitted notwithstanding the hearsay rule as an admission by a party opponent </w:t>
      </w:r>
      <w:r w:rsidRPr="0052255D" w:rsidR="005C0117">
        <w:t xml:space="preserve">(Evid. Code, § 1220) within a </w:t>
      </w:r>
      <w:r w:rsidRPr="0052255D" w:rsidR="007A050B">
        <w:t>prior inconsistent statement</w:t>
      </w:r>
      <w:r w:rsidRPr="0052255D" w:rsidR="005C0117">
        <w:t xml:space="preserve"> (</w:t>
      </w:r>
      <w:r w:rsidRPr="0052255D" w:rsidR="005C0117">
        <w:rPr>
          <w:i/>
          <w:iCs/>
        </w:rPr>
        <w:t>id.</w:t>
      </w:r>
      <w:r w:rsidRPr="0052255D" w:rsidR="005C0117">
        <w:t>,</w:t>
      </w:r>
      <w:r w:rsidRPr="0052255D" w:rsidR="00B72B41">
        <w:t> </w:t>
      </w:r>
      <w:r w:rsidRPr="0052255D" w:rsidR="005C0117">
        <w:t>§ 1235)</w:t>
      </w:r>
      <w:r w:rsidRPr="0052255D" w:rsidR="007A050B">
        <w:t xml:space="preserve">. </w:t>
      </w:r>
      <w:r w:rsidRPr="0052255D" w:rsidR="00D37C4B">
        <w:rPr>
          <w:i/>
          <w:iCs/>
        </w:rPr>
        <w:t xml:space="preserve"> </w:t>
      </w:r>
      <w:r w:rsidRPr="0052255D">
        <w:t>C</w:t>
      </w:r>
      <w:r w:rsidRPr="0052255D" w:rsidR="00EF606B">
        <w:t>ontempora</w:t>
      </w:r>
      <w:r w:rsidRPr="0052255D" w:rsidR="00100058">
        <w:t xml:space="preserve">neous police reports documented Perdon’s </w:t>
      </w:r>
      <w:r w:rsidRPr="0052255D" w:rsidR="002B6131">
        <w:t xml:space="preserve">interview </w:t>
      </w:r>
      <w:r w:rsidRPr="0052255D" w:rsidR="008D7684">
        <w:t>from</w:t>
      </w:r>
      <w:r w:rsidRPr="0052255D" w:rsidR="001F30F9">
        <w:t xml:space="preserve"> April 2000, </w:t>
      </w:r>
      <w:r w:rsidRPr="0052255D" w:rsidR="008B1C64">
        <w:t xml:space="preserve">and </w:t>
      </w:r>
      <w:r w:rsidRPr="0052255D" w:rsidR="00C03162">
        <w:t>Perdon testified that she told police</w:t>
      </w:r>
      <w:r w:rsidRPr="0052255D" w:rsidR="001F30F9">
        <w:t xml:space="preserve"> what she knew to be true at that time and that</w:t>
      </w:r>
      <w:r w:rsidRPr="0052255D" w:rsidR="008B1C64">
        <w:t xml:space="preserve"> the</w:t>
      </w:r>
      <w:r w:rsidRPr="0052255D" w:rsidR="001F30F9">
        <w:t xml:space="preserve"> incident</w:t>
      </w:r>
      <w:r w:rsidRPr="0052255D" w:rsidR="008B1C64">
        <w:t xml:space="preserve"> was </w:t>
      </w:r>
      <w:r w:rsidRPr="0052255D" w:rsidR="001F30F9">
        <w:t xml:space="preserve">fresher in her mind </w:t>
      </w:r>
      <w:r w:rsidRPr="0052255D" w:rsidR="008B1C64">
        <w:t>in 2000 than 2005</w:t>
      </w:r>
      <w:r w:rsidRPr="0052255D" w:rsidR="001F30F9">
        <w:t>.</w:t>
      </w:r>
      <w:r w:rsidRPr="0052255D" w:rsidR="00B67960">
        <w:t xml:space="preserve"> </w:t>
      </w:r>
    </w:p>
    <w:p w:rsidR="007A10E3" w:rsidRPr="0052255D" w:rsidP="0052255D">
      <w:pPr>
        <w:tabs>
          <w:tab w:val="left" w:pos="1440"/>
        </w:tabs>
        <w:ind w:firstLine="720"/>
      </w:pPr>
      <w:r w:rsidRPr="0052255D">
        <w:t xml:space="preserve">As we have held, prejudice from fading witness memories due to </w:t>
      </w:r>
      <w:r w:rsidR="00F07301">
        <w:t xml:space="preserve">passage of time </w:t>
      </w:r>
      <w:r w:rsidRPr="0052255D">
        <w:t>is diminished where contemporaneous police reports exist that may be introduced into evidence or used to refresh the witness’s recollection.  (</w:t>
      </w:r>
      <w:r w:rsidRPr="0052255D">
        <w:rPr>
          <w:i/>
          <w:iCs/>
        </w:rPr>
        <w:t xml:space="preserve">Scherling v. Superior Court </w:t>
      </w:r>
      <w:r w:rsidRPr="0052255D">
        <w:t>(</w:t>
      </w:r>
      <w:r w:rsidRPr="0052255D" w:rsidR="001249A0">
        <w:t xml:space="preserve">1978) 22 Cal.3d 493, 506.)  </w:t>
      </w:r>
      <w:r w:rsidRPr="0052255D" w:rsidR="00C85DE5">
        <w:t>Thus, Perdon’s ability at trial to independently recall a conversation that took pla</w:t>
      </w:r>
      <w:r w:rsidRPr="0052255D" w:rsidR="0022661A">
        <w:t xml:space="preserve">ce between her and defendant was not critical to the prosecution’s case.  </w:t>
      </w:r>
      <w:r w:rsidRPr="0052255D" w:rsidR="00C842A5">
        <w:t xml:space="preserve">Moreover, </w:t>
      </w:r>
      <w:r w:rsidRPr="0052255D" w:rsidR="00465CCE">
        <w:t xml:space="preserve">as will also be described </w:t>
      </w:r>
      <w:r w:rsidRPr="0052255D" w:rsidR="00465CCE">
        <w:rPr>
          <w:i/>
          <w:iCs/>
        </w:rPr>
        <w:t>post</w:t>
      </w:r>
      <w:r w:rsidRPr="0052255D" w:rsidR="00C842A5">
        <w:t xml:space="preserve">, the trial court </w:t>
      </w:r>
      <w:r w:rsidRPr="0052255D" w:rsidR="00EA0144">
        <w:t xml:space="preserve">found </w:t>
      </w:r>
      <w:r w:rsidRPr="0052255D" w:rsidR="00C842A5">
        <w:t>that Perdon’s inability to recall</w:t>
      </w:r>
      <w:r w:rsidRPr="0052255D" w:rsidR="00EA0144">
        <w:t xml:space="preserve"> whether defendant admitted to killing Johnson was evasive and untruthful.  </w:t>
      </w:r>
      <w:r w:rsidRPr="0052255D" w:rsidR="00F75700">
        <w:t>The</w:t>
      </w:r>
      <w:r w:rsidRPr="0052255D" w:rsidR="00FE6D28">
        <w:t>refore,</w:t>
      </w:r>
      <w:r w:rsidRPr="0052255D" w:rsidR="00F75700">
        <w:t xml:space="preserve"> </w:t>
      </w:r>
      <w:r w:rsidRPr="0052255D" w:rsidR="00B95885">
        <w:t xml:space="preserve">the </w:t>
      </w:r>
      <w:r w:rsidRPr="0052255D" w:rsidR="00F75700">
        <w:t xml:space="preserve">trial court’s ruling suggests that </w:t>
      </w:r>
      <w:r w:rsidRPr="0052255D" w:rsidR="00260C68">
        <w:t>Perdon’s professed inability to recall defendant’s inflammatory statement</w:t>
      </w:r>
      <w:r w:rsidRPr="0052255D" w:rsidR="00EA0144">
        <w:t xml:space="preserve"> </w:t>
      </w:r>
      <w:r w:rsidRPr="0052255D" w:rsidR="00FE6D28">
        <w:t>was not based on the passage of time</w:t>
      </w:r>
      <w:r w:rsidRPr="0052255D" w:rsidR="00AD6364">
        <w:t xml:space="preserve">. </w:t>
      </w:r>
      <w:r w:rsidRPr="0052255D" w:rsidR="00EA0144">
        <w:t xml:space="preserve"> </w:t>
      </w:r>
      <w:r w:rsidR="00FF447B">
        <w:t>Furthermore</w:t>
      </w:r>
      <w:r w:rsidRPr="0052255D" w:rsidR="001B51B5">
        <w:t xml:space="preserve">, Perdon’s testimony was “not of crucial significance” to the prosecution’s case, which rested primarily on the testimony of Masubayashi, Carrillo, and Quiambao.  </w:t>
      </w:r>
      <w:r w:rsidRPr="0052255D" w:rsidR="00E317D5">
        <w:t>(</w:t>
      </w:r>
      <w:r w:rsidR="00BF51D0">
        <w:rPr>
          <w:i/>
          <w:iCs/>
        </w:rPr>
        <w:t>Ibid.</w:t>
      </w:r>
      <w:r w:rsidRPr="0052255D" w:rsidR="00E317D5">
        <w:t>)</w:t>
      </w:r>
    </w:p>
    <w:p w:rsidR="0069517F" w:rsidRPr="0052255D" w:rsidP="0052255D">
      <w:pPr>
        <w:tabs>
          <w:tab w:val="left" w:pos="1440"/>
        </w:tabs>
        <w:ind w:firstLine="720"/>
      </w:pPr>
      <w:r w:rsidRPr="0052255D">
        <w:rPr>
          <w:shd w:val="clear" w:color="auto" w:fill="FFFFFF"/>
        </w:rPr>
        <w:t xml:space="preserve">In sum, defendant’s claims of prejudice are speculative </w:t>
      </w:r>
      <w:r w:rsidRPr="0052255D" w:rsidR="00FE7853">
        <w:rPr>
          <w:shd w:val="clear" w:color="auto" w:fill="FFFFFF"/>
        </w:rPr>
        <w:t xml:space="preserve">and inadequately </w:t>
      </w:r>
      <w:r w:rsidRPr="0052255D">
        <w:rPr>
          <w:shd w:val="clear" w:color="auto" w:fill="FFFFFF"/>
        </w:rPr>
        <w:t xml:space="preserve">supported.  </w:t>
      </w:r>
      <w:r w:rsidRPr="0052255D" w:rsidR="00E870DC">
        <w:rPr>
          <w:shd w:val="clear" w:color="auto" w:fill="FFFFFF"/>
        </w:rPr>
        <w:t xml:space="preserve">Accordingly, </w:t>
      </w:r>
      <w:r w:rsidRPr="0052255D" w:rsidR="00DC424F">
        <w:rPr>
          <w:shd w:val="clear" w:color="auto" w:fill="FFFFFF"/>
        </w:rPr>
        <w:t xml:space="preserve">we </w:t>
      </w:r>
      <w:r w:rsidRPr="0052255D" w:rsidR="00DC424F">
        <w:t>conclude the trial court acted within its discretion when it denied defendant’s motion to dismiss</w:t>
      </w:r>
      <w:r w:rsidRPr="0052255D" w:rsidR="00EE4AED">
        <w:t xml:space="preserve"> </w:t>
      </w:r>
      <w:r w:rsidRPr="0052255D" w:rsidR="00BD4059">
        <w:t>for lack of prejudice</w:t>
      </w:r>
      <w:r w:rsidRPr="0052255D" w:rsidR="00DC424F">
        <w:t>.</w:t>
      </w:r>
      <w:r w:rsidRPr="0052255D" w:rsidR="00203E76">
        <w:t xml:space="preserve">  Because </w:t>
      </w:r>
      <w:r w:rsidRPr="0052255D" w:rsidR="000B018F">
        <w:t xml:space="preserve">we </w:t>
      </w:r>
      <w:r w:rsidRPr="0052255D" w:rsidR="00203E76">
        <w:t xml:space="preserve">conclude </w:t>
      </w:r>
      <w:r w:rsidRPr="0052255D" w:rsidR="00862247">
        <w:t xml:space="preserve">the trial court properly found defendant was not prejudiced by the </w:t>
      </w:r>
      <w:r w:rsidR="009D60B3">
        <w:t>passage of time</w:t>
      </w:r>
      <w:r w:rsidRPr="0052255D" w:rsidR="00862247">
        <w:t xml:space="preserve">, </w:t>
      </w:r>
      <w:r w:rsidRPr="0052255D" w:rsidR="002C3632">
        <w:t xml:space="preserve">there is no need to </w:t>
      </w:r>
      <w:r w:rsidRPr="0052255D" w:rsidR="00862247">
        <w:t xml:space="preserve">address defendant’s further argument challenging the prosecutor’s justifications for </w:t>
      </w:r>
      <w:r w:rsidR="00CC4389">
        <w:t xml:space="preserve">any asserted </w:t>
      </w:r>
      <w:r w:rsidRPr="0052255D" w:rsidR="00862247">
        <w:t>delay.</w:t>
      </w:r>
      <w:r w:rsidRPr="0052255D" w:rsidR="00DC424F">
        <w:t xml:space="preserve">  </w:t>
      </w:r>
      <w:r w:rsidRPr="0052255D" w:rsidR="007611AD">
        <w:t xml:space="preserve">  </w:t>
      </w:r>
    </w:p>
    <w:p w:rsidR="000B6247" w:rsidRPr="0052255D" w:rsidP="0052255D">
      <w:pPr>
        <w:pStyle w:val="Heading3"/>
      </w:pPr>
      <w:bookmarkStart w:id="19" w:name="_Toc94515339"/>
      <w:r w:rsidRPr="0052255D">
        <w:t>4</w:t>
      </w:r>
      <w:r w:rsidRPr="0052255D" w:rsidR="009A6D32">
        <w:t xml:space="preserve">.  </w:t>
      </w:r>
      <w:r w:rsidRPr="0052255D" w:rsidR="00A63B41">
        <w:t>E</w:t>
      </w:r>
      <w:r w:rsidRPr="0052255D" w:rsidR="009A6D32">
        <w:t xml:space="preserve">xclusion of </w:t>
      </w:r>
      <w:r w:rsidRPr="0052255D" w:rsidR="0023287A">
        <w:t>Towne’s</w:t>
      </w:r>
      <w:r w:rsidRPr="0052255D">
        <w:t xml:space="preserve"> </w:t>
      </w:r>
      <w:r w:rsidRPr="0052255D" w:rsidR="00917776">
        <w:t>h</w:t>
      </w:r>
      <w:r w:rsidRPr="0052255D" w:rsidR="008C2B52">
        <w:t>earsay</w:t>
      </w:r>
      <w:r w:rsidRPr="0052255D" w:rsidR="007E186C">
        <w:t xml:space="preserve"> </w:t>
      </w:r>
      <w:r w:rsidRPr="0052255D" w:rsidR="00917776">
        <w:t>s</w:t>
      </w:r>
      <w:r w:rsidRPr="0052255D">
        <w:t xml:space="preserve">tatements </w:t>
      </w:r>
      <w:bookmarkEnd w:id="19"/>
    </w:p>
    <w:p w:rsidR="00C03478" w:rsidRPr="0052255D" w:rsidP="0052255D">
      <w:pPr>
        <w:tabs>
          <w:tab w:val="left" w:pos="1440"/>
        </w:tabs>
        <w:ind w:firstLine="720"/>
      </w:pPr>
      <w:r w:rsidRPr="0052255D">
        <w:t xml:space="preserve">As noted, eyewitness Towne could not be located at the time of </w:t>
      </w:r>
      <w:r w:rsidRPr="0052255D" w:rsidR="00CF47B2">
        <w:t xml:space="preserve">the </w:t>
      </w:r>
      <w:r w:rsidRPr="0052255D">
        <w:t xml:space="preserve">guilt phase trial.  </w:t>
      </w:r>
      <w:r w:rsidRPr="0052255D" w:rsidR="00FC5349">
        <w:t xml:space="preserve">Defendant </w:t>
      </w:r>
      <w:r w:rsidRPr="0052255D" w:rsidR="001B0D2B">
        <w:t xml:space="preserve">contends the trial court </w:t>
      </w:r>
      <w:r w:rsidRPr="0052255D" w:rsidR="00F97D45">
        <w:t>abused its discretion when it excluded</w:t>
      </w:r>
      <w:r w:rsidRPr="0052255D" w:rsidR="007716FA">
        <w:t xml:space="preserve"> </w:t>
      </w:r>
      <w:r w:rsidRPr="0052255D" w:rsidR="001B0D2B">
        <w:t xml:space="preserve">Towne’s </w:t>
      </w:r>
      <w:r w:rsidRPr="0052255D" w:rsidR="00C95501">
        <w:t xml:space="preserve">out-of-court </w:t>
      </w:r>
      <w:r w:rsidRPr="0052255D" w:rsidR="001B0D2B">
        <w:t>statement</w:t>
      </w:r>
      <w:r w:rsidRPr="0052255D" w:rsidR="007E186C">
        <w:t>s</w:t>
      </w:r>
      <w:r w:rsidRPr="0052255D" w:rsidR="001B0D2B">
        <w:t xml:space="preserve"> </w:t>
      </w:r>
      <w:r w:rsidRPr="0052255D" w:rsidR="007716FA">
        <w:t>describing the shooter</w:t>
      </w:r>
      <w:r w:rsidRPr="0052255D" w:rsidR="008F30DE">
        <w:t xml:space="preserve"> </w:t>
      </w:r>
      <w:r w:rsidRPr="0052255D" w:rsidR="002F64A3">
        <w:t xml:space="preserve">in a manner </w:t>
      </w:r>
      <w:r w:rsidRPr="0052255D" w:rsidR="003071FF">
        <w:t xml:space="preserve">that was </w:t>
      </w:r>
      <w:r w:rsidRPr="0052255D" w:rsidR="002F64A3">
        <w:t xml:space="preserve">inconsistent with defendant’s build </w:t>
      </w:r>
      <w:r w:rsidRPr="0052255D" w:rsidR="003071FF">
        <w:t>on the night in question</w:t>
      </w:r>
      <w:r w:rsidRPr="0052255D" w:rsidR="007716FA">
        <w:t xml:space="preserve">.  </w:t>
      </w:r>
      <w:r w:rsidRPr="0052255D" w:rsidR="00A32250">
        <w:t xml:space="preserve">Defendant asserts the statements should have been admitted </w:t>
      </w:r>
      <w:r w:rsidRPr="0052255D" w:rsidR="00E14C5D">
        <w:t xml:space="preserve">under the spontaneous statement exception to the hearsay rule.  </w:t>
      </w:r>
      <w:r w:rsidRPr="0052255D" w:rsidR="001D56B0">
        <w:t xml:space="preserve">(Evid. Code, § 1240.)  </w:t>
      </w:r>
      <w:r w:rsidRPr="0052255D" w:rsidR="00A832AE">
        <w:t>We</w:t>
      </w:r>
      <w:r w:rsidRPr="0052255D">
        <w:t xml:space="preserve"> conclude </w:t>
      </w:r>
      <w:r w:rsidRPr="0052255D" w:rsidR="00F57DFE">
        <w:t>there was no</w:t>
      </w:r>
      <w:r w:rsidRPr="0052255D" w:rsidR="00283F99">
        <w:t xml:space="preserve"> error</w:t>
      </w:r>
      <w:r w:rsidRPr="0052255D">
        <w:t>.</w:t>
      </w:r>
    </w:p>
    <w:p w:rsidR="00CF4959" w:rsidRPr="0052255D" w:rsidP="0052255D">
      <w:pPr>
        <w:tabs>
          <w:tab w:val="left" w:pos="1440"/>
        </w:tabs>
        <w:ind w:firstLine="720"/>
      </w:pPr>
      <w:r w:rsidRPr="0052255D">
        <w:t xml:space="preserve">Officer Terrance Bowers interviewed Towne shortly after the shooting occurred.  </w:t>
      </w:r>
      <w:r w:rsidRPr="0052255D" w:rsidR="00C74EFA">
        <w:t>Towne told Bowers that he saw a thin male</w:t>
      </w:r>
      <w:r w:rsidRPr="0052255D" w:rsidR="005A7752">
        <w:t xml:space="preserve">, </w:t>
      </w:r>
      <w:r w:rsidRPr="0052255D" w:rsidR="00482718">
        <w:t>approximately</w:t>
      </w:r>
      <w:r w:rsidRPr="0052255D" w:rsidR="005A7752">
        <w:t xml:space="preserve"> five</w:t>
      </w:r>
      <w:r w:rsidR="00E7261B">
        <w:t xml:space="preserve"> </w:t>
      </w:r>
      <w:r w:rsidRPr="0052255D" w:rsidR="005A7752">
        <w:t>feet</w:t>
      </w:r>
      <w:r w:rsidR="00E7261B">
        <w:t xml:space="preserve"> and </w:t>
      </w:r>
      <w:r w:rsidRPr="0052255D" w:rsidR="005A7752">
        <w:t>eight</w:t>
      </w:r>
      <w:r w:rsidR="00E7261B">
        <w:t xml:space="preserve"> </w:t>
      </w:r>
      <w:r w:rsidRPr="0052255D" w:rsidR="005A7752">
        <w:t>inches to six</w:t>
      </w:r>
      <w:r w:rsidR="00E7261B">
        <w:t xml:space="preserve"> </w:t>
      </w:r>
      <w:r w:rsidRPr="0052255D" w:rsidR="005A7752">
        <w:t>feet tall,</w:t>
      </w:r>
      <w:r w:rsidRPr="0052255D" w:rsidR="00C74EFA">
        <w:t xml:space="preserve"> walking through the parking lot away from the driver’s door of Masubayashi’s car and fir</w:t>
      </w:r>
      <w:r w:rsidRPr="0052255D" w:rsidR="008F696C">
        <w:t>ing</w:t>
      </w:r>
      <w:r w:rsidRPr="0052255D" w:rsidR="00C74EFA">
        <w:t xml:space="preserve"> three to four gunshots in an </w:t>
      </w:r>
      <w:r w:rsidR="00B66767">
        <w:t>e</w:t>
      </w:r>
      <w:r w:rsidRPr="0052255D" w:rsidR="00C74EFA">
        <w:t xml:space="preserve">astbound direction.  </w:t>
      </w:r>
      <w:r w:rsidRPr="0052255D" w:rsidR="00F57DFE">
        <w:t xml:space="preserve">Defendant sought to </w:t>
      </w:r>
      <w:r w:rsidRPr="0052255D" w:rsidR="005C5350">
        <w:t>introduce</w:t>
      </w:r>
      <w:r w:rsidRPr="0052255D" w:rsidR="00F57DFE">
        <w:t xml:space="preserve"> Towne’s statements </w:t>
      </w:r>
      <w:r w:rsidRPr="0052255D" w:rsidR="00057B2B">
        <w:t xml:space="preserve">to Bowers </w:t>
      </w:r>
      <w:r w:rsidRPr="0052255D" w:rsidR="00AC7CF2">
        <w:t>as spontaneous statements</w:t>
      </w:r>
      <w:r w:rsidRPr="0052255D" w:rsidR="00F57DFE">
        <w:t xml:space="preserve">.  </w:t>
      </w:r>
      <w:r w:rsidRPr="0052255D" w:rsidR="0003411C">
        <w:t xml:space="preserve">After the prosecution objected on hearsay grounds, the trial court conducted a hearing to determine </w:t>
      </w:r>
      <w:r w:rsidRPr="0052255D" w:rsidR="00B931A4">
        <w:t>the admissibility of the statements</w:t>
      </w:r>
      <w:r w:rsidRPr="0052255D" w:rsidR="001161E2">
        <w:t xml:space="preserve">.  </w:t>
      </w:r>
      <w:r w:rsidRPr="0052255D" w:rsidR="007A07AD">
        <w:t xml:space="preserve">  </w:t>
      </w:r>
    </w:p>
    <w:p w:rsidR="005112C2" w:rsidRPr="0052255D" w:rsidP="0052255D">
      <w:pPr>
        <w:tabs>
          <w:tab w:val="left" w:pos="1440"/>
        </w:tabs>
        <w:ind w:firstLine="720"/>
      </w:pPr>
      <w:r w:rsidRPr="0052255D">
        <w:t xml:space="preserve">At this hearing, </w:t>
      </w:r>
      <w:r w:rsidRPr="0052255D" w:rsidR="0040758C">
        <w:t>Office</w:t>
      </w:r>
      <w:r w:rsidRPr="0052255D" w:rsidR="0065066F">
        <w:t>r</w:t>
      </w:r>
      <w:r w:rsidRPr="0052255D" w:rsidR="0040758C">
        <w:t xml:space="preserve"> Bowers testified</w:t>
      </w:r>
      <w:r w:rsidRPr="0052255D" w:rsidR="008027A1">
        <w:t xml:space="preserve"> that he arrived at the scene of the shooting approximately five to </w:t>
      </w:r>
      <w:r w:rsidR="001D04B2">
        <w:t>10</w:t>
      </w:r>
      <w:r w:rsidRPr="0052255D" w:rsidR="001D04B2">
        <w:t xml:space="preserve"> </w:t>
      </w:r>
      <w:r w:rsidRPr="0052255D" w:rsidR="008027A1">
        <w:t>minutes after it occurred</w:t>
      </w:r>
      <w:r w:rsidRPr="0052255D" w:rsidR="0040758C">
        <w:t>.</w:t>
      </w:r>
      <w:r w:rsidRPr="0052255D" w:rsidR="00CE79A5">
        <w:t xml:space="preserve"> </w:t>
      </w:r>
      <w:r w:rsidRPr="0052255D" w:rsidR="00E15B93">
        <w:t xml:space="preserve"> </w:t>
      </w:r>
      <w:r w:rsidRPr="0052255D" w:rsidR="00FE520D">
        <w:t xml:space="preserve">There were groups of people standing around, including Fowler and Towne, who had told other </w:t>
      </w:r>
      <w:r w:rsidRPr="0052255D" w:rsidR="00895237">
        <w:t xml:space="preserve">police </w:t>
      </w:r>
      <w:r w:rsidRPr="0052255D" w:rsidR="00FE520D">
        <w:t xml:space="preserve">officers they had seen something and had been directed to wait at the scene until officers could speak with them.  </w:t>
      </w:r>
      <w:r w:rsidRPr="0052255D" w:rsidR="00140976">
        <w:t xml:space="preserve">Upon arrival, Bowers </w:t>
      </w:r>
      <w:r w:rsidRPr="0052255D" w:rsidR="00364F84">
        <w:t>spent a few minutes assisting</w:t>
      </w:r>
      <w:r w:rsidRPr="0052255D" w:rsidR="00140976">
        <w:t xml:space="preserve"> Officer Heinzel with the homicide scene</w:t>
      </w:r>
      <w:r w:rsidRPr="0052255D" w:rsidR="00364F84">
        <w:t xml:space="preserve">.  The officers agreed </w:t>
      </w:r>
      <w:r w:rsidRPr="0052255D" w:rsidR="009256A4">
        <w:t xml:space="preserve">that Bowers would speak with Fowler and Towne while Heinzel would speak with other individuals.  </w:t>
      </w:r>
      <w:r w:rsidRPr="0052255D" w:rsidR="00895237">
        <w:t xml:space="preserve">Bowers </w:t>
      </w:r>
      <w:r w:rsidR="00912F5E">
        <w:t xml:space="preserve">addressed </w:t>
      </w:r>
      <w:r w:rsidRPr="0052255D" w:rsidR="00895237">
        <w:t xml:space="preserve">Fowler, and then Towne.  </w:t>
      </w:r>
      <w:r w:rsidRPr="0052255D" w:rsidR="00D1186F">
        <w:t>Bowers asked Towne what he had heard and seen.</w:t>
      </w:r>
      <w:r w:rsidRPr="0052255D" w:rsidR="00D1186F">
        <w:rPr>
          <w:color w:val="000000" w:themeColor="text1"/>
        </w:rPr>
        <w:t xml:space="preserve">  </w:t>
      </w:r>
      <w:r w:rsidRPr="0052255D" w:rsidR="009E3F74">
        <w:t xml:space="preserve">Bowers </w:t>
      </w:r>
      <w:r w:rsidRPr="0052255D" w:rsidR="006A4D15">
        <w:t xml:space="preserve">recalled </w:t>
      </w:r>
      <w:r w:rsidRPr="0052255D" w:rsidR="00E62CF7">
        <w:t>that</w:t>
      </w:r>
      <w:r w:rsidRPr="0052255D" w:rsidR="009E3F74">
        <w:t xml:space="preserve"> Towne appeared </w:t>
      </w:r>
      <w:r w:rsidRPr="0052255D" w:rsidR="00E62CF7">
        <w:t>to be “</w:t>
      </w:r>
      <w:r w:rsidRPr="0052255D" w:rsidR="009E3F74">
        <w:t>nervous</w:t>
      </w:r>
      <w:r w:rsidRPr="0052255D" w:rsidR="00E62CF7">
        <w:t>”</w:t>
      </w:r>
      <w:r w:rsidRPr="0052255D" w:rsidR="009E3F74">
        <w:t xml:space="preserve"> and </w:t>
      </w:r>
      <w:r w:rsidRPr="0052255D" w:rsidR="00E62CF7">
        <w:t xml:space="preserve">“a little </w:t>
      </w:r>
      <w:r w:rsidRPr="0052255D" w:rsidR="009E3F74">
        <w:t>visibly shaken</w:t>
      </w:r>
      <w:r w:rsidRPr="0052255D" w:rsidR="00E037F4">
        <w:t>” during the interview</w:t>
      </w:r>
      <w:r w:rsidRPr="0052255D" w:rsidR="00974779">
        <w:t xml:space="preserve">, but </w:t>
      </w:r>
      <w:r w:rsidRPr="0052255D" w:rsidR="0072384F">
        <w:t xml:space="preserve">he </w:t>
      </w:r>
      <w:r w:rsidRPr="0052255D" w:rsidR="00974779">
        <w:t xml:space="preserve">could not recall anything specific that </w:t>
      </w:r>
      <w:r w:rsidRPr="0052255D" w:rsidR="0072384F">
        <w:t>made him think Towne was nervous</w:t>
      </w:r>
      <w:r w:rsidRPr="0052255D" w:rsidR="0014776B">
        <w:t xml:space="preserve"> or anything else about Towne’s demeanor</w:t>
      </w:r>
      <w:r w:rsidRPr="0052255D" w:rsidR="009E3F74">
        <w:t xml:space="preserve">.  </w:t>
      </w:r>
      <w:r w:rsidRPr="0052255D" w:rsidR="00DD135C">
        <w:t xml:space="preserve">In response to </w:t>
      </w:r>
      <w:r w:rsidRPr="0052255D" w:rsidR="007056C3">
        <w:t xml:space="preserve">further </w:t>
      </w:r>
      <w:r w:rsidRPr="0052255D" w:rsidR="00DD135C">
        <w:t xml:space="preserve">questioning, Bowers </w:t>
      </w:r>
      <w:r w:rsidRPr="0052255D" w:rsidR="009263E0">
        <w:t>stated that he would not</w:t>
      </w:r>
      <w:r w:rsidRPr="0052255D" w:rsidR="0097370D">
        <w:t xml:space="preserve"> </w:t>
      </w:r>
      <w:r w:rsidRPr="0052255D" w:rsidR="009263E0">
        <w:t xml:space="preserve">describe </w:t>
      </w:r>
      <w:r w:rsidRPr="0052255D" w:rsidR="00F1237F">
        <w:t>Towne as appearing upset</w:t>
      </w:r>
      <w:r w:rsidRPr="0052255D" w:rsidR="00DD135C">
        <w:t>.</w:t>
      </w:r>
      <w:r w:rsidRPr="0052255D" w:rsidR="00F1237F">
        <w:t xml:space="preserve">  </w:t>
      </w:r>
    </w:p>
    <w:p w:rsidR="00D7768F" w:rsidRPr="0052255D" w:rsidP="0052255D">
      <w:pPr>
        <w:tabs>
          <w:tab w:val="left" w:pos="1440"/>
        </w:tabs>
        <w:ind w:firstLine="720"/>
      </w:pPr>
      <w:r w:rsidRPr="0052255D">
        <w:t>The trial court</w:t>
      </w:r>
      <w:r w:rsidRPr="0052255D" w:rsidR="008A0676">
        <w:t xml:space="preserve"> </w:t>
      </w:r>
      <w:r w:rsidRPr="0052255D" w:rsidR="00CE7831">
        <w:t xml:space="preserve">sustained the prosecution’s </w:t>
      </w:r>
      <w:r w:rsidRPr="0052255D" w:rsidR="00AC3DAD">
        <w:t xml:space="preserve">hearsay </w:t>
      </w:r>
      <w:r w:rsidRPr="0052255D" w:rsidR="00CE7831">
        <w:t xml:space="preserve">objection to </w:t>
      </w:r>
      <w:r w:rsidRPr="0052255D" w:rsidR="00051869">
        <w:t xml:space="preserve">the admission of </w:t>
      </w:r>
      <w:r w:rsidRPr="0052255D" w:rsidR="00CE7831">
        <w:t>Towne’s statements</w:t>
      </w:r>
      <w:r w:rsidRPr="0052255D" w:rsidR="00056D2D">
        <w:t xml:space="preserve">.  </w:t>
      </w:r>
      <w:r w:rsidRPr="0052255D" w:rsidR="002A70CB">
        <w:t xml:space="preserve">The court </w:t>
      </w:r>
      <w:r w:rsidRPr="0052255D" w:rsidR="00554C39">
        <w:t>explained</w:t>
      </w:r>
      <w:r w:rsidRPr="0052255D" w:rsidR="000776AC">
        <w:t>, “I don’t think the fact that a witness is nervous qualifies as a spontaneous declaration</w:t>
      </w:r>
      <w:r w:rsidRPr="0052255D" w:rsidR="00562259">
        <w:t> </w:t>
      </w:r>
      <w:r w:rsidRPr="0052255D" w:rsidR="00051869">
        <w:t>. . .</w:t>
      </w:r>
      <w:r w:rsidRPr="0052255D" w:rsidR="0035160C">
        <w:t xml:space="preserve"> where the Code requires that the statement</w:t>
      </w:r>
      <w:r w:rsidRPr="0052255D" w:rsidR="00AE6C1C">
        <w:t xml:space="preserve"> </w:t>
      </w:r>
      <w:r w:rsidRPr="0052255D" w:rsidR="003960C0">
        <w:t>. . .</w:t>
      </w:r>
      <w:r w:rsidRPr="0052255D" w:rsidR="00AE6C1C">
        <w:t xml:space="preserve"> </w:t>
      </w:r>
      <w:r w:rsidRPr="0052255D" w:rsidR="003960C0">
        <w:t>‘</w:t>
      </w:r>
      <w:r w:rsidRPr="0052255D" w:rsidR="0035160C">
        <w:t xml:space="preserve">was made </w:t>
      </w:r>
      <w:r w:rsidRPr="0052255D" w:rsidR="00017776">
        <w:t>spontaneously while the declarant was under the stress of excitement caused by such perception.’ </w:t>
      </w:r>
      <w:r w:rsidRPr="0052255D" w:rsidR="00562259">
        <w:t xml:space="preserve">”  </w:t>
      </w:r>
      <w:r w:rsidRPr="0052255D" w:rsidR="00017776">
        <w:t xml:space="preserve">The court </w:t>
      </w:r>
      <w:r w:rsidRPr="0052255D" w:rsidR="000F6DBA">
        <w:t>added</w:t>
      </w:r>
      <w:r w:rsidRPr="0052255D" w:rsidR="0075684C">
        <w:t xml:space="preserve">, “This seems to be common nervousness and nothing more.  It is almost like any other witness interview in the sense that just the mere presence of a police officer could cause somebody to </w:t>
      </w:r>
      <w:r w:rsidRPr="0052255D" w:rsidR="00F25170">
        <w:t xml:space="preserve">become nervous.  It doesn’t qualify.”  </w:t>
      </w:r>
    </w:p>
    <w:p w:rsidR="0091605E" w:rsidRPr="0052255D" w:rsidP="0052255D">
      <w:pPr>
        <w:tabs>
          <w:tab w:val="left" w:pos="1440"/>
        </w:tabs>
        <w:ind w:firstLine="720"/>
      </w:pPr>
      <w:r w:rsidRPr="0052255D">
        <w:t>Evidence Code section 1240</w:t>
      </w:r>
      <w:r w:rsidRPr="0052255D" w:rsidR="00CF48EB">
        <w:t xml:space="preserve"> provides:  </w:t>
      </w:r>
      <w:r w:rsidRPr="0052255D" w:rsidR="00D7768F">
        <w:t xml:space="preserve">“Evidence of a statement is not made inadmissible by the hearsay rule if the statement:  [¶] (a) Purports to narrate, describe, or explain an act, condition, or event perceived by the declarant; and [¶] </w:t>
      </w:r>
      <w:r w:rsidRPr="0052255D" w:rsidR="006356A7">
        <w:t xml:space="preserve"> </w:t>
      </w:r>
      <w:r w:rsidRPr="0052255D" w:rsidR="00D7768F">
        <w:t>(b)</w:t>
      </w:r>
      <w:r w:rsidR="00357035">
        <w:t> </w:t>
      </w:r>
      <w:r w:rsidRPr="0052255D" w:rsidR="00D7768F">
        <w:t xml:space="preserve">Was made spontaneously while the declarant was under the stress of excitement caused by such perception.”  </w:t>
      </w:r>
      <w:r w:rsidRPr="0052255D" w:rsidR="00E94224">
        <w:t>For an out-of-court statement to fall within the spontaneous statement exception to the hearsay rule, “</w:t>
      </w:r>
      <w:r w:rsidRPr="0052255D" w:rsidR="00C970CC">
        <w:t> ‘</w:t>
      </w:r>
      <w:r w:rsidRPr="0052255D" w:rsidR="00E94224">
        <w:t>(1) there must be some occurrence startling enough to produce this nervous excitement and render the utterance spontaneous and unreflecting; (2) the utterance must have been before there has been time to contrive and misrepresent, i.e., while the nervous excitement may be supposed still to dominate and the reflective powers to be yet in abeyance; and (3) the utterance must relate to the circumstance of the occurrence preceding it.</w:t>
      </w:r>
      <w:r w:rsidRPr="0052255D" w:rsidR="00C970CC">
        <w:t>’ </w:t>
      </w:r>
      <w:r w:rsidRPr="0052255D" w:rsidR="00E94224">
        <w:t>”  (</w:t>
      </w:r>
      <w:r w:rsidRPr="0052255D" w:rsidR="00E94224">
        <w:rPr>
          <w:i/>
          <w:iCs/>
        </w:rPr>
        <w:t>People v. Poggi</w:t>
      </w:r>
      <w:r w:rsidRPr="0052255D" w:rsidR="00E94224">
        <w:t xml:space="preserve"> (1988) 45</w:t>
      </w:r>
      <w:r w:rsidR="00C44E18">
        <w:t> </w:t>
      </w:r>
      <w:r w:rsidRPr="0052255D" w:rsidR="00E94224">
        <w:t>Cal.3d 306, 318</w:t>
      </w:r>
      <w:r w:rsidRPr="0052255D" w:rsidR="00061FF8">
        <w:t xml:space="preserve"> (</w:t>
      </w:r>
      <w:r w:rsidRPr="0052255D" w:rsidR="00061FF8">
        <w:rPr>
          <w:i/>
          <w:iCs/>
        </w:rPr>
        <w:t>Poggi</w:t>
      </w:r>
      <w:r w:rsidRPr="0052255D" w:rsidR="00061FF8">
        <w:t>)</w:t>
      </w:r>
      <w:r w:rsidRPr="0052255D" w:rsidR="00E94224">
        <w:t xml:space="preserve">.)  </w:t>
      </w:r>
    </w:p>
    <w:p w:rsidR="00455518" w:rsidRPr="0052255D" w:rsidP="0052255D">
      <w:pPr>
        <w:tabs>
          <w:tab w:val="left" w:pos="1440"/>
        </w:tabs>
        <w:ind w:firstLine="720"/>
      </w:pPr>
      <w:r w:rsidRPr="0052255D">
        <w:t>“T</w:t>
      </w:r>
      <w:r w:rsidRPr="0052255D" w:rsidR="00502606">
        <w:t xml:space="preserve">he crucial element in determining whether a declaration is sufficiently reliable to </w:t>
      </w:r>
      <w:r w:rsidRPr="0052255D" w:rsidR="00E5737E">
        <w:t>b</w:t>
      </w:r>
      <w:r w:rsidRPr="0052255D" w:rsidR="00502606">
        <w:t>e admissible under this exception to the hearsay rule is</w:t>
      </w:r>
      <w:r w:rsidRPr="0052255D" w:rsidR="004B6A63">
        <w:t xml:space="preserve"> </w:t>
      </w:r>
      <w:r w:rsidRPr="0052255D" w:rsidR="00502606">
        <w:t>. . .</w:t>
      </w:r>
      <w:r w:rsidRPr="0052255D" w:rsidR="001D5E61">
        <w:t xml:space="preserve"> the mental state of the speaker</w:t>
      </w:r>
      <w:r w:rsidRPr="0052255D" w:rsidR="0074191C">
        <w:t>.</w:t>
      </w:r>
      <w:r w:rsidRPr="0052255D" w:rsidR="001D5E61">
        <w:t>”  (</w:t>
      </w:r>
      <w:r w:rsidRPr="0052255D" w:rsidR="001D5E61">
        <w:rPr>
          <w:i/>
          <w:iCs/>
        </w:rPr>
        <w:t>People v. Farmer</w:t>
      </w:r>
      <w:r w:rsidRPr="0052255D" w:rsidR="001D5E61">
        <w:t xml:space="preserve"> </w:t>
      </w:r>
      <w:r w:rsidRPr="0052255D" w:rsidR="00F832B3">
        <w:t>(1989) 4</w:t>
      </w:r>
      <w:r w:rsidRPr="0052255D" w:rsidR="00E01372">
        <w:t>7</w:t>
      </w:r>
      <w:r w:rsidRPr="0052255D" w:rsidR="00F832B3">
        <w:t xml:space="preserve"> Cal.3d </w:t>
      </w:r>
      <w:r w:rsidRPr="0052255D" w:rsidR="00BF48F1">
        <w:t>888</w:t>
      </w:r>
      <w:r w:rsidRPr="0052255D" w:rsidR="00F832B3">
        <w:t>, 903</w:t>
      </w:r>
      <w:r w:rsidRPr="0052255D" w:rsidR="009C3BF8">
        <w:t xml:space="preserve"> (</w:t>
      </w:r>
      <w:r w:rsidRPr="0052255D" w:rsidR="009C3BF8">
        <w:rPr>
          <w:i/>
          <w:iCs/>
        </w:rPr>
        <w:t>Farmer</w:t>
      </w:r>
      <w:r w:rsidRPr="0052255D" w:rsidR="009C3BF8">
        <w:t>)</w:t>
      </w:r>
      <w:r w:rsidRPr="0052255D" w:rsidR="00F832B3">
        <w:t xml:space="preserve">, abrogated on other grounds by </w:t>
      </w:r>
      <w:r w:rsidRPr="0052255D" w:rsidR="00F832B3">
        <w:rPr>
          <w:i/>
          <w:iCs/>
        </w:rPr>
        <w:t>People v. Waidla</w:t>
      </w:r>
      <w:r w:rsidRPr="0052255D" w:rsidR="00F832B3">
        <w:t xml:space="preserve"> (2000) </w:t>
      </w:r>
      <w:r w:rsidRPr="0052255D" w:rsidR="002E50AB">
        <w:t>22 Cal.4th 690</w:t>
      </w:r>
      <w:r w:rsidRPr="0052255D" w:rsidR="00F832B3">
        <w:t>.)</w:t>
      </w:r>
      <w:r w:rsidRPr="0052255D" w:rsidR="0091605E">
        <w:t xml:space="preserve">  </w:t>
      </w:r>
      <w:r w:rsidRPr="0052255D" w:rsidR="004B3A65">
        <w:t>“A</w:t>
      </w:r>
      <w:r w:rsidR="00C44E18">
        <w:t> </w:t>
      </w:r>
      <w:r w:rsidRPr="0052255D" w:rsidR="004B3A65">
        <w:t>number of factors may inform the court’s inquiry as to whether the statement in question was made while the declarant was still under the stress and excitement of the startling event and before there was ‘time to contrive and misrepresent[,]’</w:t>
      </w:r>
      <w:r w:rsidR="00676113">
        <w:t> ”</w:t>
      </w:r>
      <w:r w:rsidRPr="0052255D" w:rsidR="004B3A65">
        <w:t xml:space="preserve"> such as </w:t>
      </w:r>
      <w:r w:rsidRPr="0052255D" w:rsidR="00A46B9D">
        <w:t>“the passage of time between the startling event and the statement, whether the declarant blurted out the statement or made it in response to questioning, the declarant’s emotional state and physical condition at the time of making the statement, and whether the content of the statement suggested an opportunity for reflection and fabrication.”  (</w:t>
      </w:r>
      <w:r w:rsidRPr="0052255D" w:rsidR="00A46B9D">
        <w:rPr>
          <w:i/>
          <w:iCs/>
        </w:rPr>
        <w:t>Merriman</w:t>
      </w:r>
      <w:r w:rsidRPr="0052255D" w:rsidR="007776A7">
        <w:t xml:space="preserve">, </w:t>
      </w:r>
      <w:r w:rsidRPr="0052255D" w:rsidR="007776A7">
        <w:rPr>
          <w:i/>
          <w:iCs/>
        </w:rPr>
        <w:t>supra</w:t>
      </w:r>
      <w:r w:rsidRPr="0052255D" w:rsidR="007776A7">
        <w:t>,</w:t>
      </w:r>
      <w:r w:rsidRPr="0052255D" w:rsidR="00A46B9D">
        <w:t xml:space="preserve"> 60 Cal.4th </w:t>
      </w:r>
      <w:r w:rsidRPr="0052255D" w:rsidR="007776A7">
        <w:t>at p.</w:t>
      </w:r>
      <w:r w:rsidRPr="0052255D" w:rsidR="002A2BB4">
        <w:t> </w:t>
      </w:r>
      <w:r w:rsidRPr="0052255D" w:rsidR="0075256E">
        <w:t>64.)</w:t>
      </w:r>
      <w:r w:rsidRPr="0052255D" w:rsidR="00A46B9D">
        <w:t xml:space="preserve"> </w:t>
      </w:r>
    </w:p>
    <w:p w:rsidR="00A51658" w:rsidRPr="0052255D" w:rsidP="0052255D">
      <w:pPr>
        <w:tabs>
          <w:tab w:val="left" w:pos="1440"/>
        </w:tabs>
        <w:ind w:firstLine="720"/>
        <w:rPr>
          <w:color w:val="000000" w:themeColor="text1"/>
        </w:rPr>
      </w:pPr>
      <w:r w:rsidRPr="0052255D">
        <w:t>“Whether the requirements of the spontaneous statement exception are satisfied in any given case is, in general, largely a question of fact.”  (</w:t>
      </w:r>
      <w:r w:rsidRPr="0052255D">
        <w:rPr>
          <w:i/>
          <w:iCs/>
        </w:rPr>
        <w:t>Poggi</w:t>
      </w:r>
      <w:r w:rsidRPr="0052255D">
        <w:t xml:space="preserve">, </w:t>
      </w:r>
      <w:r w:rsidRPr="0052255D">
        <w:rPr>
          <w:i/>
          <w:iCs/>
        </w:rPr>
        <w:t>supra</w:t>
      </w:r>
      <w:r w:rsidRPr="0052255D">
        <w:t>,</w:t>
      </w:r>
      <w:r w:rsidRPr="0052255D">
        <w:rPr>
          <w:i/>
          <w:iCs/>
        </w:rPr>
        <w:t xml:space="preserve"> </w:t>
      </w:r>
      <w:r w:rsidRPr="0067785A" w:rsidR="0067785A">
        <w:t>45 Cal.3d</w:t>
      </w:r>
      <w:r w:rsidR="0067785A">
        <w:rPr>
          <w:i/>
          <w:iCs/>
        </w:rPr>
        <w:t xml:space="preserve"> </w:t>
      </w:r>
      <w:r w:rsidRPr="0052255D">
        <w:t xml:space="preserve">at p. 318.)  We review the trial court’s ruling </w:t>
      </w:r>
      <w:r w:rsidRPr="0052255D" w:rsidR="0004522A">
        <w:t xml:space="preserve">concerning </w:t>
      </w:r>
      <w:r w:rsidRPr="0052255D">
        <w:t>whether a hearsay statement falls within the spontaneous statement exception for abuse of discretion.  (</w:t>
      </w:r>
      <w:r w:rsidRPr="0052255D">
        <w:rPr>
          <w:i/>
          <w:iCs/>
        </w:rPr>
        <w:t>People v. Lynch</w:t>
      </w:r>
      <w:r w:rsidRPr="0052255D">
        <w:t xml:space="preserve"> (2010) 50 Cal.4th 69</w:t>
      </w:r>
      <w:r w:rsidRPr="0052255D" w:rsidR="0010603F">
        <w:t>3</w:t>
      </w:r>
      <w:r w:rsidRPr="0052255D">
        <w:t>, 752</w:t>
      </w:r>
      <w:r w:rsidRPr="0052255D" w:rsidR="00BD3C93">
        <w:t xml:space="preserve"> (</w:t>
      </w:r>
      <w:r w:rsidRPr="0052255D" w:rsidR="00BD3C93">
        <w:rPr>
          <w:i/>
          <w:iCs/>
        </w:rPr>
        <w:t>Lynch</w:t>
      </w:r>
      <w:r w:rsidRPr="0052255D" w:rsidR="00BD3C93">
        <w:t>)</w:t>
      </w:r>
      <w:r w:rsidRPr="0052255D" w:rsidR="007757B9">
        <w:t xml:space="preserve">, </w:t>
      </w:r>
      <w:r w:rsidRPr="0052255D" w:rsidR="00B053BF">
        <w:t xml:space="preserve">abrogated on other grounds by </w:t>
      </w:r>
      <w:r w:rsidRPr="0052255D" w:rsidR="00B053BF">
        <w:rPr>
          <w:i/>
          <w:iCs/>
        </w:rPr>
        <w:t>People v. McKinnon</w:t>
      </w:r>
      <w:r w:rsidRPr="0052255D" w:rsidR="00B053BF">
        <w:t xml:space="preserve"> (2011) 52</w:t>
      </w:r>
      <w:r w:rsidR="00C44E18">
        <w:t> </w:t>
      </w:r>
      <w:r w:rsidRPr="0052255D" w:rsidR="00B053BF">
        <w:t>Cal.4th 610</w:t>
      </w:r>
      <w:r w:rsidRPr="0052255D">
        <w:t xml:space="preserve">.) </w:t>
      </w:r>
      <w:r w:rsidRPr="0052255D">
        <w:rPr>
          <w:color w:val="000000" w:themeColor="text1"/>
        </w:rPr>
        <w:t xml:space="preserve"> </w:t>
      </w:r>
      <w:r w:rsidRPr="0052255D">
        <w:t>“ ‘[T]he discretion of the trial court is at its broadest’ when it determines whether an utterance was made while the declarant was still in a state of nervous excitement.”  (</w:t>
      </w:r>
      <w:r w:rsidRPr="0052255D">
        <w:rPr>
          <w:i/>
          <w:iCs/>
        </w:rPr>
        <w:t>Thomas</w:t>
      </w:r>
      <w:r w:rsidRPr="0052255D" w:rsidR="007E6B05">
        <w:t xml:space="preserve">, </w:t>
      </w:r>
      <w:r w:rsidRPr="0052255D" w:rsidR="007E6B05">
        <w:rPr>
          <w:i/>
          <w:iCs/>
        </w:rPr>
        <w:t>supra</w:t>
      </w:r>
      <w:r w:rsidRPr="0052255D" w:rsidR="007E6B05">
        <w:t>,</w:t>
      </w:r>
      <w:r w:rsidRPr="0052255D">
        <w:rPr>
          <w:i/>
          <w:iCs/>
        </w:rPr>
        <w:t xml:space="preserve"> </w:t>
      </w:r>
      <w:r w:rsidRPr="0052255D">
        <w:t>51</w:t>
      </w:r>
      <w:r w:rsidRPr="0052255D" w:rsidR="002A2BB4">
        <w:t> </w:t>
      </w:r>
      <w:r w:rsidRPr="0052255D">
        <w:t xml:space="preserve">Cal.4th </w:t>
      </w:r>
      <w:r w:rsidRPr="0052255D" w:rsidR="007E6B05">
        <w:t>at p.</w:t>
      </w:r>
      <w:r w:rsidRPr="0052255D">
        <w:t xml:space="preserve"> 496.)  </w:t>
      </w:r>
    </w:p>
    <w:p w:rsidR="00420D71" w:rsidRPr="0052255D" w:rsidP="0052255D">
      <w:pPr>
        <w:tabs>
          <w:tab w:val="left" w:pos="1440"/>
        </w:tabs>
        <w:ind w:firstLine="720"/>
      </w:pPr>
      <w:r w:rsidRPr="0052255D">
        <w:t xml:space="preserve">We have “rarely held” that answers to </w:t>
      </w:r>
      <w:r w:rsidRPr="0052255D" w:rsidR="0011784D">
        <w:t>extensive</w:t>
      </w:r>
      <w:r w:rsidRPr="0052255D">
        <w:t xml:space="preserve"> questioning by police officers constitute spontaneous statements.  (</w:t>
      </w:r>
      <w:r w:rsidRPr="0052255D">
        <w:rPr>
          <w:i/>
          <w:iCs/>
        </w:rPr>
        <w:t>Farmer</w:t>
      </w:r>
      <w:r w:rsidRPr="0052255D">
        <w:t xml:space="preserve">, </w:t>
      </w:r>
      <w:r w:rsidRPr="0052255D">
        <w:rPr>
          <w:i/>
          <w:iCs/>
        </w:rPr>
        <w:t>supra</w:t>
      </w:r>
      <w:r w:rsidRPr="0052255D">
        <w:t xml:space="preserve">, 47 Cal.3d at p. 904.)  </w:t>
      </w:r>
      <w:r w:rsidRPr="0052255D" w:rsidR="00F824DC">
        <w:t xml:space="preserve">In such cases, </w:t>
      </w:r>
      <w:r w:rsidRPr="0052255D" w:rsidR="009368B8">
        <w:t>we</w:t>
      </w:r>
      <w:r w:rsidRPr="0052255D" w:rsidR="00161669">
        <w:t xml:space="preserve"> have emphasized</w:t>
      </w:r>
      <w:r w:rsidRPr="0052255D" w:rsidR="00B35519">
        <w:t xml:space="preserve"> that </w:t>
      </w:r>
      <w:r w:rsidRPr="0052255D" w:rsidR="00F824DC">
        <w:t xml:space="preserve">the </w:t>
      </w:r>
      <w:r w:rsidRPr="0052255D" w:rsidR="00B35519">
        <w:t>declarant</w:t>
      </w:r>
      <w:r w:rsidRPr="0052255D">
        <w:t xml:space="preserve"> was the victim of the crime and made the identifying remarks while under the stress of excitement caused by experiencing the crime.</w:t>
      </w:r>
      <w:r w:rsidRPr="0052255D" w:rsidR="001D15DB">
        <w:t xml:space="preserve"> </w:t>
      </w:r>
      <w:r w:rsidRPr="0052255D">
        <w:t xml:space="preserve"> (</w:t>
      </w:r>
      <w:r w:rsidRPr="0052255D" w:rsidR="00B35519">
        <w:rPr>
          <w:i/>
          <w:iCs/>
        </w:rPr>
        <w:t>Ibid.</w:t>
      </w:r>
      <w:r w:rsidRPr="0052255D" w:rsidR="00B35519">
        <w:t xml:space="preserve">; </w:t>
      </w:r>
      <w:r w:rsidRPr="0052255D" w:rsidR="00254B22">
        <w:t xml:space="preserve">see also </w:t>
      </w:r>
      <w:r w:rsidRPr="0052255D">
        <w:rPr>
          <w:i/>
          <w:iCs/>
        </w:rPr>
        <w:t>People v. Morrison</w:t>
      </w:r>
      <w:r w:rsidRPr="0052255D">
        <w:t xml:space="preserve"> (2004) 34 Cal.4th 698, 719</w:t>
      </w:r>
      <w:r w:rsidR="007716F9">
        <w:t xml:space="preserve"> (</w:t>
      </w:r>
      <w:r w:rsidR="007716F9">
        <w:rPr>
          <w:i/>
          <w:iCs/>
        </w:rPr>
        <w:t>Morrison</w:t>
      </w:r>
      <w:r w:rsidR="007716F9">
        <w:t>)</w:t>
      </w:r>
      <w:r w:rsidRPr="0052255D" w:rsidR="00B35519">
        <w:t xml:space="preserve">.)  </w:t>
      </w:r>
      <w:r w:rsidRPr="0052255D" w:rsidR="00423460">
        <w:t xml:space="preserve">Indeed, we </w:t>
      </w:r>
      <w:r w:rsidRPr="0052255D" w:rsidR="000355EB">
        <w:t xml:space="preserve">held that the trial court </w:t>
      </w:r>
      <w:r w:rsidRPr="0052255D" w:rsidR="003913A2">
        <w:t>abused its discretion when it admitted</w:t>
      </w:r>
      <w:r w:rsidRPr="0052255D" w:rsidR="000355EB">
        <w:t xml:space="preserve"> as </w:t>
      </w:r>
      <w:r w:rsidRPr="0052255D" w:rsidR="007D58AD">
        <w:t xml:space="preserve">a </w:t>
      </w:r>
      <w:r w:rsidRPr="0052255D" w:rsidR="000355EB">
        <w:t xml:space="preserve">spontaneous </w:t>
      </w:r>
      <w:r w:rsidRPr="0052255D" w:rsidR="007D58AD">
        <w:t>utterance the</w:t>
      </w:r>
      <w:r w:rsidRPr="0052255D" w:rsidR="009013E7">
        <w:t xml:space="preserve"> statements </w:t>
      </w:r>
      <w:r w:rsidRPr="0052255D" w:rsidR="007D58AD">
        <w:t xml:space="preserve">made </w:t>
      </w:r>
      <w:r w:rsidRPr="0052255D" w:rsidR="009013E7">
        <w:t xml:space="preserve">by </w:t>
      </w:r>
      <w:r w:rsidRPr="0052255D" w:rsidR="00B67B97">
        <w:t>the</w:t>
      </w:r>
      <w:r w:rsidRPr="0052255D" w:rsidR="009013E7">
        <w:t xml:space="preserve"> victim of an attack whe</w:t>
      </w:r>
      <w:r w:rsidRPr="0052255D" w:rsidR="00CF29D8">
        <w:t>n</w:t>
      </w:r>
      <w:r w:rsidRPr="0052255D" w:rsidR="00A248A2">
        <w:t xml:space="preserve"> </w:t>
      </w:r>
      <w:r w:rsidRPr="0052255D" w:rsidR="00CC35C8">
        <w:t>her</w:t>
      </w:r>
      <w:r w:rsidRPr="0052255D" w:rsidR="002C6A92">
        <w:t xml:space="preserve"> </w:t>
      </w:r>
      <w:r w:rsidRPr="0052255D" w:rsidR="004E0A28">
        <w:t>description of the crime was comprehensive</w:t>
      </w:r>
      <w:r w:rsidRPr="0052255D" w:rsidR="00CC35C8">
        <w:t>,</w:t>
      </w:r>
      <w:r w:rsidRPr="0052255D" w:rsidR="004E0A28">
        <w:t xml:space="preserve"> </w:t>
      </w:r>
      <w:r w:rsidRPr="0052255D" w:rsidR="002C6A92">
        <w:t>made in response to questioning</w:t>
      </w:r>
      <w:r w:rsidRPr="0052255D" w:rsidR="00171582">
        <w:t>, and</w:t>
      </w:r>
      <w:r w:rsidRPr="0052255D" w:rsidR="004E0A28">
        <w:t xml:space="preserve"> </w:t>
      </w:r>
      <w:r w:rsidRPr="0052255D" w:rsidR="00CC35C8">
        <w:t>there was no evidence</w:t>
      </w:r>
      <w:r w:rsidRPr="0052255D" w:rsidR="00171582">
        <w:t xml:space="preserve"> that the victim </w:t>
      </w:r>
      <w:r w:rsidRPr="0052255D" w:rsidR="004E0A28">
        <w:t>“</w:t>
      </w:r>
      <w:r w:rsidRPr="0052255D" w:rsidR="00171582">
        <w:t>was</w:t>
      </w:r>
      <w:r w:rsidRPr="0052255D" w:rsidR="006A10C2">
        <w:t xml:space="preserve"> excited or frightened when she spoke, or that her physical condition at the time of her statements precluded deliberation.”</w:t>
      </w:r>
      <w:r w:rsidRPr="0052255D" w:rsidR="00423460">
        <w:t xml:space="preserve"> </w:t>
      </w:r>
      <w:r w:rsidRPr="0052255D" w:rsidR="004E0A28">
        <w:t xml:space="preserve"> (</w:t>
      </w:r>
      <w:r w:rsidRPr="0052255D" w:rsidR="004E0A28">
        <w:rPr>
          <w:i/>
          <w:iCs/>
        </w:rPr>
        <w:t>Lynch</w:t>
      </w:r>
      <w:r w:rsidRPr="0052255D" w:rsidR="00BD3C93">
        <w:t xml:space="preserve">, </w:t>
      </w:r>
      <w:r w:rsidRPr="0052255D" w:rsidR="00BD3C93">
        <w:rPr>
          <w:i/>
          <w:iCs/>
        </w:rPr>
        <w:t>supra</w:t>
      </w:r>
      <w:r w:rsidRPr="0052255D" w:rsidR="00BD3C93">
        <w:t>,</w:t>
      </w:r>
      <w:r w:rsidRPr="0052255D" w:rsidR="004E0A28">
        <w:rPr>
          <w:i/>
          <w:iCs/>
        </w:rPr>
        <w:t xml:space="preserve"> </w:t>
      </w:r>
      <w:r w:rsidRPr="0052255D" w:rsidR="004E0A28">
        <w:t xml:space="preserve">50 Cal.4th </w:t>
      </w:r>
      <w:r w:rsidRPr="0052255D" w:rsidR="00BD3C93">
        <w:t>at p.</w:t>
      </w:r>
      <w:r w:rsidRPr="0052255D" w:rsidR="004E0A28">
        <w:t xml:space="preserve"> </w:t>
      </w:r>
      <w:r w:rsidRPr="0052255D" w:rsidR="000355EB">
        <w:t xml:space="preserve">754.)  </w:t>
      </w:r>
      <w:r w:rsidRPr="0052255D" w:rsidR="00C104A7">
        <w:t xml:space="preserve">We </w:t>
      </w:r>
      <w:r w:rsidRPr="0052255D" w:rsidR="00B21C94">
        <w:t xml:space="preserve">also </w:t>
      </w:r>
      <w:r w:rsidRPr="0052255D" w:rsidR="00C104A7">
        <w:t xml:space="preserve">have </w:t>
      </w:r>
      <w:r w:rsidRPr="0052255D" w:rsidR="00161669">
        <w:t>cautioned against finding a spontaneous statement</w:t>
      </w:r>
      <w:r w:rsidRPr="0052255D">
        <w:t xml:space="preserve"> whe</w:t>
      </w:r>
      <w:r w:rsidRPr="0052255D" w:rsidR="00B21C94">
        <w:t>n</w:t>
      </w:r>
      <w:r w:rsidRPr="0052255D">
        <w:t xml:space="preserve"> the declarant was “merely an uninjured witness whose excitement might wane</w:t>
      </w:r>
      <w:r w:rsidR="00444AC5">
        <w:t> </w:t>
      </w:r>
      <w:r w:rsidRPr="0052255D">
        <w:t xml:space="preserve">— and would </w:t>
      </w:r>
      <w:r w:rsidR="009A712C">
        <w:t xml:space="preserve">thus </w:t>
      </w:r>
      <w:r w:rsidRPr="0052255D">
        <w:t>be in a position to fabricate answers</w:t>
      </w:r>
      <w:r w:rsidR="00444AC5">
        <w:t> </w:t>
      </w:r>
      <w:r w:rsidRPr="0052255D">
        <w:t>— through the sobering interrogation of an investigator.”  (</w:t>
      </w:r>
      <w:r w:rsidRPr="0052255D">
        <w:rPr>
          <w:i/>
          <w:iCs/>
        </w:rPr>
        <w:t>Farmer</w:t>
      </w:r>
      <w:r w:rsidRPr="0052255D">
        <w:t>, at p</w:t>
      </w:r>
      <w:r w:rsidRPr="0052255D" w:rsidR="00B72B41">
        <w:t>. </w:t>
      </w:r>
      <w:r w:rsidRPr="0052255D">
        <w:t>904.)</w:t>
      </w:r>
      <w:r w:rsidRPr="0052255D" w:rsidR="00A51658">
        <w:t xml:space="preserve">  </w:t>
      </w:r>
    </w:p>
    <w:p w:rsidR="00E95598" w:rsidRPr="0052255D" w:rsidP="0052255D">
      <w:pPr>
        <w:tabs>
          <w:tab w:val="left" w:pos="1440"/>
        </w:tabs>
        <w:ind w:firstLine="720"/>
      </w:pPr>
      <w:r w:rsidRPr="0052255D">
        <w:t>We</w:t>
      </w:r>
      <w:r w:rsidRPr="0052255D" w:rsidR="00C97001">
        <w:t xml:space="preserve"> conclude </w:t>
      </w:r>
      <w:r w:rsidRPr="0052255D" w:rsidR="00D440ED">
        <w:t xml:space="preserve">that </w:t>
      </w:r>
      <w:r w:rsidRPr="0052255D" w:rsidR="00C97001">
        <w:t xml:space="preserve">the </w:t>
      </w:r>
      <w:r w:rsidRPr="0052255D" w:rsidR="00D440ED">
        <w:t>trial court did not abuse its discretion when it ruled</w:t>
      </w:r>
      <w:r w:rsidRPr="0052255D" w:rsidR="001C7960">
        <w:t xml:space="preserve"> </w:t>
      </w:r>
      <w:r w:rsidRPr="0052255D" w:rsidR="00C97001">
        <w:t xml:space="preserve">that </w:t>
      </w:r>
      <w:r w:rsidRPr="0052255D" w:rsidR="001C7960">
        <w:t>Towne’s statements to Officer Bowers</w:t>
      </w:r>
      <w:r w:rsidRPr="0052255D" w:rsidR="00586FFC">
        <w:t xml:space="preserve"> did not meet the requirements of the spontaneous statement exception</w:t>
      </w:r>
      <w:r w:rsidRPr="0052255D" w:rsidR="00F1237F">
        <w:t xml:space="preserve"> because </w:t>
      </w:r>
      <w:r w:rsidRPr="0052255D" w:rsidR="005725EB">
        <w:t>the</w:t>
      </w:r>
      <w:r w:rsidRPr="0052255D" w:rsidR="003367AF">
        <w:t xml:space="preserve"> statements</w:t>
      </w:r>
      <w:r w:rsidRPr="0052255D" w:rsidR="005725EB">
        <w:t xml:space="preserve"> were not made</w:t>
      </w:r>
      <w:r w:rsidRPr="0052255D" w:rsidR="009A5225">
        <w:t xml:space="preserve"> </w:t>
      </w:r>
      <w:r w:rsidRPr="0052255D" w:rsidR="00C7594F">
        <w:t xml:space="preserve">while </w:t>
      </w:r>
      <w:r w:rsidRPr="0052255D" w:rsidR="005725EB">
        <w:t xml:space="preserve">Towne </w:t>
      </w:r>
      <w:r w:rsidRPr="0052255D" w:rsidR="00C7594F">
        <w:t>was under the stress of excitement caused by the shooting</w:t>
      </w:r>
      <w:r w:rsidRPr="0052255D" w:rsidR="00EC4014">
        <w:t>.</w:t>
      </w:r>
      <w:r w:rsidRPr="0052255D" w:rsidR="0052695E">
        <w:t xml:space="preserve">  </w:t>
      </w:r>
      <w:r w:rsidRPr="0052255D" w:rsidR="00676E30">
        <w:t xml:space="preserve">As noted earlier, </w:t>
      </w:r>
      <w:r w:rsidRPr="0052255D" w:rsidR="006C3298">
        <w:t>Bowers arrived at the scene</w:t>
      </w:r>
      <w:r w:rsidRPr="0052255D" w:rsidR="00876AFF">
        <w:t xml:space="preserve"> approximately five to </w:t>
      </w:r>
      <w:r w:rsidR="009A712C">
        <w:t>10</w:t>
      </w:r>
      <w:r w:rsidRPr="0052255D" w:rsidR="00876AFF">
        <w:t xml:space="preserve"> minutes after the shooting.  At that time</w:t>
      </w:r>
      <w:r w:rsidRPr="0052255D" w:rsidR="006C3298">
        <w:t xml:space="preserve">, Towne, Fowler, and other individuals were standing </w:t>
      </w:r>
      <w:r w:rsidRPr="0052255D" w:rsidR="002F3A29">
        <w:t xml:space="preserve">around </w:t>
      </w:r>
      <w:r w:rsidRPr="0052255D" w:rsidR="006C3298">
        <w:t xml:space="preserve">in groups </w:t>
      </w:r>
      <w:r w:rsidRPr="0052255D" w:rsidR="002F3A29">
        <w:t>waiting to be interviewed</w:t>
      </w:r>
      <w:r w:rsidRPr="0052255D" w:rsidR="004F22B1">
        <w:t xml:space="preserve"> </w:t>
      </w:r>
      <w:r w:rsidRPr="0052255D" w:rsidR="00A92FDA">
        <w:t>by police officers</w:t>
      </w:r>
      <w:r w:rsidRPr="0052255D" w:rsidR="004F22B1">
        <w:t xml:space="preserve">.  </w:t>
      </w:r>
      <w:r w:rsidRPr="0052255D" w:rsidR="00B158C1">
        <w:t xml:space="preserve">Although the </w:t>
      </w:r>
      <w:r w:rsidRPr="0052255D" w:rsidR="004D4359">
        <w:t>extent</w:t>
      </w:r>
      <w:r w:rsidRPr="0052255D" w:rsidR="00B158C1">
        <w:t xml:space="preserve"> of </w:t>
      </w:r>
      <w:r w:rsidRPr="0052255D" w:rsidR="00906A71">
        <w:t xml:space="preserve">Towne’s prior communication with other police officers is </w:t>
      </w:r>
      <w:r w:rsidRPr="0052255D" w:rsidR="00B158C1">
        <w:t xml:space="preserve">unclear, </w:t>
      </w:r>
      <w:r w:rsidRPr="0052255D" w:rsidR="004D4359">
        <w:t xml:space="preserve">it is uncontroverted that </w:t>
      </w:r>
      <w:r w:rsidRPr="0052255D" w:rsidR="00AD3EAE">
        <w:t>he</w:t>
      </w:r>
      <w:r w:rsidRPr="0052255D" w:rsidR="004D4359">
        <w:t xml:space="preserve"> and Fowler </w:t>
      </w:r>
      <w:r w:rsidRPr="0052255D" w:rsidR="00932506">
        <w:t xml:space="preserve">had </w:t>
      </w:r>
      <w:r w:rsidRPr="0052255D" w:rsidR="00AD3EAE">
        <w:t>told</w:t>
      </w:r>
      <w:r w:rsidRPr="0052255D" w:rsidR="004D4359">
        <w:t xml:space="preserve"> other officers</w:t>
      </w:r>
      <w:r w:rsidRPr="0052255D" w:rsidR="005B1259">
        <w:t xml:space="preserve"> </w:t>
      </w:r>
      <w:r w:rsidRPr="0052255D" w:rsidR="00AD3EAE">
        <w:t>that they had seen something and were instructed to wait</w:t>
      </w:r>
      <w:r w:rsidRPr="0052255D" w:rsidR="00BE0DC6">
        <w:t xml:space="preserve"> for further questioning</w:t>
      </w:r>
      <w:r w:rsidRPr="0052255D" w:rsidR="005B1259">
        <w:t>.</w:t>
      </w:r>
      <w:r w:rsidRPr="0052255D" w:rsidR="00932506">
        <w:t xml:space="preserve">  </w:t>
      </w:r>
      <w:r w:rsidRPr="0052255D" w:rsidR="00427EC1">
        <w:t>After Bowers</w:t>
      </w:r>
      <w:r w:rsidRPr="0052255D" w:rsidR="00C452EE">
        <w:t xml:space="preserve"> </w:t>
      </w:r>
      <w:r w:rsidRPr="0052255D" w:rsidR="00427EC1">
        <w:t>spent a few minutes assisting</w:t>
      </w:r>
      <w:r w:rsidRPr="0052255D" w:rsidR="00C452EE">
        <w:t xml:space="preserve"> Officer Heinzel with the murder scene</w:t>
      </w:r>
      <w:r w:rsidRPr="0052255D" w:rsidR="00427EC1">
        <w:t xml:space="preserve">, he spoke </w:t>
      </w:r>
      <w:r w:rsidRPr="0052255D" w:rsidR="00C452EE">
        <w:t>with Fowler</w:t>
      </w:r>
      <w:r w:rsidRPr="0052255D" w:rsidR="00427EC1">
        <w:t xml:space="preserve"> separately, and then with Towne</w:t>
      </w:r>
      <w:r w:rsidRPr="0052255D" w:rsidR="00C452EE">
        <w:t xml:space="preserve">.  </w:t>
      </w:r>
      <w:r w:rsidRPr="0052255D" w:rsidR="00561FC5">
        <w:t>Towne made</w:t>
      </w:r>
      <w:r w:rsidRPr="0052255D" w:rsidR="00CE0F3B">
        <w:t xml:space="preserve"> the statements in response to Bower’s questions regarding what he had seen and heard.  </w:t>
      </w:r>
      <w:r w:rsidRPr="0052255D" w:rsidR="00FE1990">
        <w:t xml:space="preserve">Bowers testified that </w:t>
      </w:r>
      <w:r w:rsidRPr="0052255D" w:rsidR="00031B77">
        <w:t>Towne</w:t>
      </w:r>
      <w:r w:rsidRPr="0052255D" w:rsidR="003C5487">
        <w:t xml:space="preserve"> appeared nervous and a little visibly shaken</w:t>
      </w:r>
      <w:r w:rsidRPr="0052255D" w:rsidR="00031B77">
        <w:t xml:space="preserve">, but not </w:t>
      </w:r>
      <w:r w:rsidRPr="0052255D" w:rsidR="00A26FB7">
        <w:t>necessarily upset</w:t>
      </w:r>
      <w:r w:rsidRPr="0052255D" w:rsidR="00FE1990">
        <w:t>, and he could not recall anything specific that made him describe Towne as nervous</w:t>
      </w:r>
      <w:r w:rsidRPr="0052255D" w:rsidR="003C5487">
        <w:t xml:space="preserve">.  </w:t>
      </w:r>
      <w:r w:rsidRPr="0052255D" w:rsidR="00085CF4">
        <w:t xml:space="preserve">Given that the discretion of the trial court </w:t>
      </w:r>
      <w:r w:rsidRPr="0052255D" w:rsidR="001251E7">
        <w:t>“ ‘</w:t>
      </w:r>
      <w:r w:rsidRPr="0052255D" w:rsidR="00085CF4">
        <w:t>is at its broadest’ ” when it determines the declarant’s mental state (</w:t>
      </w:r>
      <w:r w:rsidRPr="0052255D" w:rsidR="00085CF4">
        <w:rPr>
          <w:i/>
          <w:iCs/>
        </w:rPr>
        <w:t>Thomas</w:t>
      </w:r>
      <w:r w:rsidRPr="0052255D" w:rsidR="00085CF4">
        <w:t xml:space="preserve">, </w:t>
      </w:r>
      <w:r w:rsidRPr="0052255D" w:rsidR="00085CF4">
        <w:rPr>
          <w:i/>
          <w:iCs/>
        </w:rPr>
        <w:t>supra</w:t>
      </w:r>
      <w:r w:rsidRPr="0052255D" w:rsidR="00085CF4">
        <w:t>,</w:t>
      </w:r>
      <w:r w:rsidRPr="0052255D" w:rsidR="00085CF4">
        <w:rPr>
          <w:i/>
          <w:iCs/>
        </w:rPr>
        <w:t xml:space="preserve"> </w:t>
      </w:r>
      <w:r w:rsidRPr="0052255D" w:rsidR="00085CF4">
        <w:t xml:space="preserve">51 Cal.4th at p. 496), </w:t>
      </w:r>
      <w:r w:rsidRPr="0052255D" w:rsidR="00B0720D">
        <w:t>on this record we cannot</w:t>
      </w:r>
      <w:r w:rsidRPr="0052255D" w:rsidR="00085CF4">
        <w:t xml:space="preserve"> conclude </w:t>
      </w:r>
      <w:r w:rsidRPr="0052255D" w:rsidR="00B0720D">
        <w:t xml:space="preserve">that </w:t>
      </w:r>
      <w:r w:rsidRPr="0052255D" w:rsidR="00085CF4">
        <w:t xml:space="preserve">the trial court </w:t>
      </w:r>
      <w:r w:rsidRPr="0052255D" w:rsidR="00B0720D">
        <w:t>abused</w:t>
      </w:r>
      <w:r w:rsidRPr="0052255D" w:rsidR="00085CF4">
        <w:t xml:space="preserve"> its discretion when it </w:t>
      </w:r>
      <w:r w:rsidRPr="0052255D" w:rsidR="00461C0C">
        <w:t>excluded Towne’s statements as inadmissible hearsay</w:t>
      </w:r>
      <w:r w:rsidRPr="0052255D" w:rsidR="003E4AB7">
        <w:t>.</w:t>
      </w:r>
      <w:r>
        <w:rPr>
          <w:rStyle w:val="FootnoteReference"/>
        </w:rPr>
        <w:footnoteReference w:id="7"/>
      </w:r>
      <w:r w:rsidRPr="0052255D" w:rsidR="003E4AB7">
        <w:t xml:space="preserve"> </w:t>
      </w:r>
      <w:r w:rsidRPr="0052255D" w:rsidR="00085CF4">
        <w:t xml:space="preserve"> </w:t>
      </w:r>
    </w:p>
    <w:p w:rsidR="000B6247" w:rsidRPr="0052255D" w:rsidP="0052255D">
      <w:pPr>
        <w:pStyle w:val="Heading3"/>
      </w:pPr>
      <w:bookmarkStart w:id="20" w:name="_Toc94515340"/>
      <w:r w:rsidRPr="0052255D">
        <w:t>5</w:t>
      </w:r>
      <w:r w:rsidRPr="0052255D">
        <w:t xml:space="preserve">.  </w:t>
      </w:r>
      <w:r w:rsidRPr="0052255D" w:rsidR="00A63B41">
        <w:t>E</w:t>
      </w:r>
      <w:r w:rsidRPr="0052255D">
        <w:t xml:space="preserve">xclusion of </w:t>
      </w:r>
      <w:r w:rsidRPr="0052255D" w:rsidR="00150F93">
        <w:t xml:space="preserve">Carrillo’s </w:t>
      </w:r>
      <w:r w:rsidRPr="0052255D" w:rsidR="00917776">
        <w:t>h</w:t>
      </w:r>
      <w:r w:rsidRPr="0052255D" w:rsidR="00D95AE0">
        <w:t>earsay</w:t>
      </w:r>
      <w:r w:rsidRPr="0052255D">
        <w:t xml:space="preserve"> </w:t>
      </w:r>
      <w:r w:rsidRPr="0052255D" w:rsidR="00917776">
        <w:t>s</w:t>
      </w:r>
      <w:r w:rsidRPr="0052255D">
        <w:t xml:space="preserve">tatements </w:t>
      </w:r>
      <w:bookmarkEnd w:id="20"/>
    </w:p>
    <w:p w:rsidR="002B64E9" w:rsidRPr="0052255D" w:rsidP="0052255D">
      <w:pPr>
        <w:tabs>
          <w:tab w:val="left" w:pos="1440"/>
        </w:tabs>
        <w:ind w:firstLine="720"/>
      </w:pPr>
      <w:r w:rsidRPr="0052255D">
        <w:t xml:space="preserve">Defendant </w:t>
      </w:r>
      <w:r w:rsidRPr="0052255D" w:rsidR="00C03478">
        <w:t>assert</w:t>
      </w:r>
      <w:r w:rsidRPr="0052255D" w:rsidR="008E2740">
        <w:t xml:space="preserve">s </w:t>
      </w:r>
      <w:r w:rsidRPr="0052255D" w:rsidR="00312963">
        <w:t xml:space="preserve">the trial court </w:t>
      </w:r>
      <w:r w:rsidRPr="0052255D" w:rsidR="00132E71">
        <w:t>abused its discretion</w:t>
      </w:r>
      <w:r w:rsidRPr="0052255D" w:rsidR="00312963">
        <w:t xml:space="preserve"> when it excluded</w:t>
      </w:r>
      <w:r w:rsidRPr="0052255D" w:rsidR="00E01029">
        <w:t xml:space="preserve"> as inadmissible hearsay</w:t>
      </w:r>
      <w:r w:rsidRPr="0052255D" w:rsidR="00312963">
        <w:t xml:space="preserve"> </w:t>
      </w:r>
      <w:r w:rsidRPr="0052255D" w:rsidR="008531EB">
        <w:t xml:space="preserve">an out-of-court statement purportedly made by </w:t>
      </w:r>
      <w:r w:rsidRPr="0052255D" w:rsidR="0033569C">
        <w:t xml:space="preserve">Carrillo to </w:t>
      </w:r>
      <w:r w:rsidRPr="0052255D" w:rsidR="00132E71">
        <w:t>his sister-in-law, Alana Swift Eagle</w:t>
      </w:r>
      <w:r w:rsidRPr="0052255D" w:rsidR="0033569C">
        <w:t xml:space="preserve">.  </w:t>
      </w:r>
      <w:r w:rsidRPr="0052255D" w:rsidR="007573C8">
        <w:t>W</w:t>
      </w:r>
      <w:r w:rsidRPr="0052255D" w:rsidR="0033569C">
        <w:t xml:space="preserve">e </w:t>
      </w:r>
      <w:r w:rsidRPr="0052255D" w:rsidR="00293F32">
        <w:t>find no error</w:t>
      </w:r>
      <w:r w:rsidRPr="0052255D" w:rsidR="0033569C">
        <w:t>.</w:t>
      </w:r>
    </w:p>
    <w:p w:rsidR="0026335C" w:rsidRPr="0052255D" w:rsidP="0052255D">
      <w:pPr>
        <w:tabs>
          <w:tab w:val="left" w:pos="1440"/>
        </w:tabs>
        <w:ind w:firstLine="720"/>
        <w:rPr>
          <w:color w:val="000000" w:themeColor="text1"/>
        </w:rPr>
      </w:pPr>
      <w:r w:rsidRPr="0052255D">
        <w:t xml:space="preserve">Eagle </w:t>
      </w:r>
      <w:r w:rsidRPr="0052255D" w:rsidR="00D430E4">
        <w:t>was called as a defense witness</w:t>
      </w:r>
      <w:r w:rsidRPr="0052255D">
        <w:t xml:space="preserve">.  </w:t>
      </w:r>
      <w:r w:rsidRPr="0052255D" w:rsidR="00D430E4">
        <w:t>Defense counsel sought to</w:t>
      </w:r>
      <w:r w:rsidRPr="0052255D" w:rsidR="00FF71EA">
        <w:t xml:space="preserve"> introduce statements </w:t>
      </w:r>
      <w:r w:rsidRPr="0052255D" w:rsidR="003D33AB">
        <w:t xml:space="preserve">that Carrillo </w:t>
      </w:r>
      <w:r w:rsidRPr="0052255D" w:rsidR="00FF71EA">
        <w:t xml:space="preserve">made to Eagle </w:t>
      </w:r>
      <w:r w:rsidRPr="0052255D" w:rsidR="003D33AB">
        <w:t xml:space="preserve">in 2001 </w:t>
      </w:r>
      <w:r w:rsidRPr="0052255D" w:rsidR="00FF71EA">
        <w:t xml:space="preserve">when </w:t>
      </w:r>
      <w:r w:rsidRPr="0052255D" w:rsidR="003D33AB">
        <w:t>Eagle</w:t>
      </w:r>
      <w:r w:rsidRPr="0052255D" w:rsidR="00FF71EA">
        <w:t xml:space="preserve"> saw </w:t>
      </w:r>
      <w:r w:rsidRPr="0052255D" w:rsidR="003F3B84">
        <w:t>Carrillo</w:t>
      </w:r>
      <w:r w:rsidRPr="0052255D" w:rsidR="00C17D19">
        <w:t xml:space="preserve"> </w:t>
      </w:r>
      <w:r w:rsidRPr="0052255D" w:rsidR="00FF71EA">
        <w:t>on a jail bus</w:t>
      </w:r>
      <w:r w:rsidRPr="0052255D" w:rsidR="00C17D19">
        <w:t>.  Specifically, Eagle asked</w:t>
      </w:r>
      <w:r w:rsidRPr="0052255D" w:rsidR="00880D9C">
        <w:t xml:space="preserve"> </w:t>
      </w:r>
      <w:r w:rsidRPr="0052255D" w:rsidR="003A5DE6">
        <w:t>Carrillo if he had killed Johnson, and Carrillo responded that “everything point</w:t>
      </w:r>
      <w:r w:rsidRPr="0052255D" w:rsidR="0000474B">
        <w:t>s</w:t>
      </w:r>
      <w:r w:rsidRPr="0052255D" w:rsidR="003A5DE6">
        <w:t xml:space="preserve"> to </w:t>
      </w:r>
      <w:r w:rsidRPr="0052255D" w:rsidR="00C91FCD">
        <w:t>T-Strong</w:t>
      </w:r>
      <w:r w:rsidRPr="0052255D" w:rsidR="003F3B84">
        <w:t>”</w:t>
      </w:r>
      <w:r w:rsidRPr="0052255D" w:rsidR="003A5DE6">
        <w:t xml:space="preserve"> and </w:t>
      </w:r>
      <w:r w:rsidRPr="0052255D" w:rsidR="0072592B">
        <w:t>Carrillo was</w:t>
      </w:r>
      <w:r w:rsidRPr="0052255D" w:rsidR="003A5DE6">
        <w:t xml:space="preserve"> </w:t>
      </w:r>
      <w:r w:rsidRPr="0052255D" w:rsidR="003F3B84">
        <w:t>“</w:t>
      </w:r>
      <w:r w:rsidRPr="0052255D" w:rsidR="000E0E88">
        <w:t xml:space="preserve">going to run with that.”  </w:t>
      </w:r>
      <w:r w:rsidRPr="0052255D" w:rsidR="00B918CB">
        <w:t xml:space="preserve">The prosecution objected on hearsay grounds. </w:t>
      </w:r>
      <w:r w:rsidRPr="0052255D" w:rsidR="00B918CB">
        <w:rPr>
          <w:color w:val="FF0000"/>
        </w:rPr>
        <w:t xml:space="preserve"> </w:t>
      </w:r>
      <w:r w:rsidRPr="0052255D" w:rsidR="00F1204F">
        <w:t xml:space="preserve">Defense counsel argued that Carrillo’s statement was admissible as a prior inconsistent statement because he had </w:t>
      </w:r>
      <w:r w:rsidRPr="0052255D" w:rsidR="00A96288">
        <w:t xml:space="preserve">testified during the prosecution’s case-in-chief that defendant </w:t>
      </w:r>
      <w:r w:rsidRPr="0052255D" w:rsidR="0072592B">
        <w:t>shot Johnson</w:t>
      </w:r>
      <w:r w:rsidRPr="0052255D" w:rsidR="00A96288">
        <w:t xml:space="preserve">.  </w:t>
      </w:r>
      <w:r w:rsidRPr="0052255D" w:rsidR="00223A74">
        <w:t>The trial court</w:t>
      </w:r>
      <w:r w:rsidRPr="0052255D" w:rsidR="00F0377B">
        <w:t xml:space="preserve"> </w:t>
      </w:r>
      <w:r w:rsidRPr="0052255D" w:rsidR="00223A74">
        <w:t>excluded the statement</w:t>
      </w:r>
      <w:r w:rsidRPr="0052255D" w:rsidR="00C477ED">
        <w:t xml:space="preserve"> </w:t>
      </w:r>
      <w:r w:rsidRPr="0052255D" w:rsidR="001722ED">
        <w:t>for a variety of reasons, ruling that it constituted</w:t>
      </w:r>
      <w:r w:rsidRPr="0052255D" w:rsidR="000656F1">
        <w:t xml:space="preserve"> inadmissible hearsay</w:t>
      </w:r>
      <w:r w:rsidRPr="0052255D" w:rsidR="00F0377B">
        <w:t xml:space="preserve">, </w:t>
      </w:r>
      <w:r w:rsidRPr="0052255D" w:rsidR="00E01029">
        <w:t xml:space="preserve">it </w:t>
      </w:r>
      <w:r w:rsidRPr="0052255D" w:rsidR="001722ED">
        <w:t>was too ambiguous to be relevant, and</w:t>
      </w:r>
      <w:r w:rsidRPr="0052255D" w:rsidR="008C05EE">
        <w:t xml:space="preserve"> </w:t>
      </w:r>
      <w:r w:rsidRPr="0052255D" w:rsidR="00C62303">
        <w:t xml:space="preserve">its </w:t>
      </w:r>
      <w:r w:rsidRPr="0052255D" w:rsidR="00A33ACD">
        <w:t>prejudicial effect</w:t>
      </w:r>
      <w:r w:rsidRPr="0052255D" w:rsidR="00C62303">
        <w:t xml:space="preserve"> outweighed </w:t>
      </w:r>
      <w:r w:rsidRPr="0052255D" w:rsidR="00A33ACD">
        <w:t>its probative value</w:t>
      </w:r>
      <w:r w:rsidRPr="0052255D" w:rsidR="00C62303">
        <w:t xml:space="preserve">.  </w:t>
      </w:r>
    </w:p>
    <w:p w:rsidR="006D0EAA" w:rsidRPr="0052255D" w:rsidP="0052255D">
      <w:pPr>
        <w:tabs>
          <w:tab w:val="left" w:pos="1440"/>
        </w:tabs>
        <w:ind w:firstLine="720"/>
      </w:pPr>
      <w:r w:rsidRPr="0052255D">
        <w:t>“A hearsay objection to an out-of-court statement may not be overruled simply by identifying a non</w:t>
      </w:r>
      <w:r w:rsidRPr="0052255D" w:rsidR="00A3463A">
        <w:t>hearsay purpose for admitting the statement.  The trial court must also find that the nonhearsay purpose is relevant to an issue in dispute.”  (</w:t>
      </w:r>
      <w:r w:rsidRPr="0052255D" w:rsidR="00270930">
        <w:rPr>
          <w:i/>
          <w:iCs/>
        </w:rPr>
        <w:t>People v. Armendariz</w:t>
      </w:r>
      <w:r w:rsidRPr="0052255D" w:rsidR="00270930">
        <w:t xml:space="preserve"> (1984) 37 Cal.3d 573, 58</w:t>
      </w:r>
      <w:r w:rsidRPr="0052255D" w:rsidR="00F77655">
        <w:t>5</w:t>
      </w:r>
      <w:r w:rsidRPr="0052255D" w:rsidR="00C4585C">
        <w:t xml:space="preserve">.) </w:t>
      </w:r>
      <w:r w:rsidRPr="0052255D" w:rsidR="00A3463A">
        <w:rPr>
          <w:i/>
          <w:iCs/>
        </w:rPr>
        <w:t xml:space="preserve"> </w:t>
      </w:r>
      <w:r w:rsidRPr="0052255D" w:rsidR="004D6C76">
        <w:t>“Relevant evidence is evidence ‘having any tendency in reason to prove or disprove any disputed fact that is of consequence to the determination of the action.’ ”  (</w:t>
      </w:r>
      <w:r w:rsidRPr="0052255D" w:rsidR="004D6C76">
        <w:rPr>
          <w:i/>
          <w:iCs/>
        </w:rPr>
        <w:t>People</w:t>
      </w:r>
      <w:r w:rsidRPr="0052255D" w:rsidR="00773271">
        <w:rPr>
          <w:i/>
          <w:iCs/>
        </w:rPr>
        <w:t xml:space="preserve"> v.</w:t>
      </w:r>
      <w:r w:rsidRPr="0052255D" w:rsidR="004D6C76">
        <w:rPr>
          <w:i/>
          <w:iCs/>
        </w:rPr>
        <w:t xml:space="preserve"> </w:t>
      </w:r>
      <w:r w:rsidRPr="0052255D" w:rsidR="00773271">
        <w:rPr>
          <w:i/>
          <w:iCs/>
        </w:rPr>
        <w:t>Jablonski</w:t>
      </w:r>
      <w:r w:rsidRPr="0052255D" w:rsidR="00773271">
        <w:t xml:space="preserve"> (2006) </w:t>
      </w:r>
      <w:r w:rsidRPr="0052255D" w:rsidR="00035289">
        <w:t>37 Cal.4th 774, 821</w:t>
      </w:r>
      <w:r w:rsidRPr="0052255D" w:rsidR="004D6C76">
        <w:t xml:space="preserve">.)  </w:t>
      </w:r>
      <w:r w:rsidRPr="0052255D" w:rsidR="00967FC1">
        <w:t>“Under Evidence Code section 352, a trial court may exclude otherwise relevant evidence when its probative value is substantially outweighed by concerns of undue prejudice, confusion, or consumption of time.  ‘Evidence is substantially more prejudicial than probative [citation] if, broadly stated, it poses an intolerable “risk to the fairness of the proceedings or the reliability of the outcome</w:t>
      </w:r>
      <w:r w:rsidR="00B601A9">
        <w:t xml:space="preserve"> [citation]</w:t>
      </w:r>
      <w:r w:rsidRPr="0052255D" w:rsidR="00967FC1">
        <w:t>.” ’</w:t>
      </w:r>
      <w:r w:rsidRPr="0052255D" w:rsidR="00EB1ECE">
        <w:t> </w:t>
      </w:r>
      <w:r w:rsidRPr="0052255D" w:rsidR="00967FC1">
        <w:t xml:space="preserve">” </w:t>
      </w:r>
      <w:r w:rsidRPr="0052255D">
        <w:t xml:space="preserve"> (</w:t>
      </w:r>
      <w:r w:rsidRPr="0052255D">
        <w:rPr>
          <w:i/>
          <w:iCs/>
        </w:rPr>
        <w:t>People v. Riggs</w:t>
      </w:r>
      <w:r w:rsidRPr="0052255D">
        <w:t xml:space="preserve"> (2008) 44 Cal.4th 248, </w:t>
      </w:r>
      <w:r w:rsidRPr="0052255D" w:rsidR="002E0825">
        <w:t>290</w:t>
      </w:r>
      <w:r w:rsidRPr="0052255D" w:rsidR="003622E9">
        <w:t xml:space="preserve"> (</w:t>
      </w:r>
      <w:r w:rsidRPr="0052255D" w:rsidR="003622E9">
        <w:rPr>
          <w:i/>
          <w:iCs/>
        </w:rPr>
        <w:t>Riggs</w:t>
      </w:r>
      <w:r w:rsidRPr="0052255D" w:rsidR="003622E9">
        <w:t>)</w:t>
      </w:r>
      <w:r w:rsidRPr="0052255D" w:rsidR="002E0825">
        <w:t xml:space="preserve">.)  </w:t>
      </w:r>
    </w:p>
    <w:p w:rsidR="00CD6ED9" w:rsidRPr="0052255D" w:rsidP="0052255D">
      <w:pPr>
        <w:tabs>
          <w:tab w:val="left" w:pos="1440"/>
        </w:tabs>
        <w:ind w:firstLine="720"/>
      </w:pPr>
      <w:r w:rsidRPr="0052255D">
        <w:t>“The proponent of proffered testimony has the burden of establishing its relevance, and if the testimony is comprised of hearsay, the foundational requirements for its admissibility under an exception to the hearsay rule.  [Citations.]  Evidence is properly excluded when the proponent fails to make an adequate offer of proof regarding the relevance or admissibility of the evidence.”  (</w:t>
      </w:r>
      <w:r w:rsidRPr="0052255D">
        <w:rPr>
          <w:i/>
          <w:iCs/>
        </w:rPr>
        <w:t>Morrison</w:t>
      </w:r>
      <w:r w:rsidRPr="0052255D" w:rsidR="00FE7B99">
        <w:t xml:space="preserve">, </w:t>
      </w:r>
      <w:r w:rsidRPr="0052255D" w:rsidR="00FE7B99">
        <w:rPr>
          <w:i/>
          <w:iCs/>
        </w:rPr>
        <w:t>supra</w:t>
      </w:r>
      <w:r w:rsidRPr="0052255D" w:rsidR="00FE7B99">
        <w:t>,</w:t>
      </w:r>
      <w:r w:rsidRPr="0052255D">
        <w:rPr>
          <w:i/>
          <w:iCs/>
        </w:rPr>
        <w:t xml:space="preserve"> </w:t>
      </w:r>
      <w:r w:rsidRPr="0052255D">
        <w:t xml:space="preserve">34 Cal.4th </w:t>
      </w:r>
      <w:r w:rsidRPr="0052255D" w:rsidR="00FE7B99">
        <w:t>at p.</w:t>
      </w:r>
      <w:r w:rsidR="00C44E18">
        <w:t> </w:t>
      </w:r>
      <w:r w:rsidRPr="0052255D" w:rsidR="00130B1F">
        <w:t xml:space="preserve">724.)  </w:t>
      </w:r>
    </w:p>
    <w:p w:rsidR="00694286" w:rsidRPr="0052255D" w:rsidP="0052255D">
      <w:pPr>
        <w:tabs>
          <w:tab w:val="left" w:pos="1440"/>
        </w:tabs>
        <w:ind w:firstLine="720"/>
      </w:pPr>
      <w:r w:rsidRPr="0052255D">
        <w:t xml:space="preserve">Notwithstanding the general rule that hearsay is inadmissible for its truth, “[a] statement by a witness that is inconsistent with his or her trial testimony is admissible to establish the truth of the matter asserted in the statement under the conditions set forth in Evidence Code sections 1235 and 770.  The ‘fundamental requirement’ of section 1235 is that the statement in fact be </w:t>
      </w:r>
      <w:r w:rsidRPr="0052255D">
        <w:rPr>
          <w:i/>
          <w:iCs/>
        </w:rPr>
        <w:t>inconsistent</w:t>
      </w:r>
      <w:r w:rsidRPr="0052255D">
        <w:t xml:space="preserve"> with the witness’s trial testimony.”  (</w:t>
      </w:r>
      <w:r w:rsidRPr="0052255D">
        <w:rPr>
          <w:i/>
          <w:iCs/>
        </w:rPr>
        <w:t>People v. Johnson</w:t>
      </w:r>
      <w:r w:rsidRPr="0052255D">
        <w:t xml:space="preserve"> (1992) 3 Cal.4th 1183, 1219, fn. omitted (</w:t>
      </w:r>
      <w:r w:rsidRPr="0052255D">
        <w:rPr>
          <w:i/>
          <w:iCs/>
        </w:rPr>
        <w:t>Johnson</w:t>
      </w:r>
      <w:r w:rsidRPr="0052255D">
        <w:t xml:space="preserve">).)  </w:t>
      </w:r>
    </w:p>
    <w:p w:rsidR="00035AE8" w:rsidRPr="0052255D" w:rsidP="0052255D">
      <w:pPr>
        <w:tabs>
          <w:tab w:val="left" w:pos="1440"/>
        </w:tabs>
        <w:ind w:firstLine="720"/>
      </w:pPr>
      <w:r w:rsidRPr="0052255D">
        <w:t>We</w:t>
      </w:r>
      <w:r w:rsidRPr="0052255D" w:rsidR="00967FC1">
        <w:t xml:space="preserve"> review the trial court</w:t>
      </w:r>
      <w:r w:rsidRPr="0052255D">
        <w:t>’</w:t>
      </w:r>
      <w:r w:rsidRPr="0052255D" w:rsidR="00967FC1">
        <w:t xml:space="preserve">s rulings </w:t>
      </w:r>
      <w:r w:rsidRPr="0052255D">
        <w:t>regarding</w:t>
      </w:r>
      <w:r w:rsidRPr="0052255D" w:rsidR="00967FC1">
        <w:t xml:space="preserve"> the admissibility of the evidence for </w:t>
      </w:r>
      <w:r w:rsidRPr="0052255D" w:rsidR="00293F32">
        <w:t xml:space="preserve">an </w:t>
      </w:r>
      <w:r w:rsidRPr="0052255D" w:rsidR="00967FC1">
        <w:t>abuse of discretion.</w:t>
      </w:r>
      <w:r w:rsidRPr="0052255D">
        <w:t xml:space="preserve">  </w:t>
      </w:r>
      <w:r w:rsidRPr="0052255D" w:rsidR="003622E9">
        <w:t>(</w:t>
      </w:r>
      <w:r w:rsidRPr="0052255D" w:rsidR="003622E9">
        <w:rPr>
          <w:i/>
          <w:iCs/>
        </w:rPr>
        <w:t>Riggs</w:t>
      </w:r>
      <w:r w:rsidRPr="0052255D" w:rsidR="003622E9">
        <w:t xml:space="preserve">, </w:t>
      </w:r>
      <w:r w:rsidRPr="0052255D" w:rsidR="003622E9">
        <w:rPr>
          <w:i/>
          <w:iCs/>
        </w:rPr>
        <w:t>supra</w:t>
      </w:r>
      <w:r w:rsidRPr="0052255D" w:rsidR="003622E9">
        <w:t>, 44 Cal.4th at p</w:t>
      </w:r>
      <w:r w:rsidRPr="0052255D" w:rsidR="003622E9">
        <w:rPr>
          <w:color w:val="000000" w:themeColor="text1"/>
        </w:rPr>
        <w:t>. 290.)</w:t>
      </w:r>
      <w:r w:rsidRPr="0052255D" w:rsidR="005719C1">
        <w:rPr>
          <w:color w:val="000000" w:themeColor="text1"/>
        </w:rPr>
        <w:t xml:space="preserve">  </w:t>
      </w:r>
      <w:r w:rsidRPr="0052255D" w:rsidR="001930F2">
        <w:t xml:space="preserve">A trial court’s decision to admit or </w:t>
      </w:r>
      <w:r w:rsidRPr="0052255D" w:rsidR="001930F2">
        <w:rPr>
          <w:rStyle w:val="cosearchterm"/>
        </w:rPr>
        <w:t>exclude</w:t>
      </w:r>
      <w:r w:rsidRPr="0052255D" w:rsidR="001930F2">
        <w:t xml:space="preserve"> </w:t>
      </w:r>
      <w:r w:rsidRPr="0052255D" w:rsidR="001930F2">
        <w:rPr>
          <w:rStyle w:val="cosearchterm"/>
        </w:rPr>
        <w:t>evidence</w:t>
      </w:r>
      <w:r w:rsidRPr="0052255D" w:rsidR="001930F2">
        <w:t xml:space="preserve"> “</w:t>
      </w:r>
      <w:r w:rsidRPr="0052255D" w:rsidR="00CD48B5">
        <w:t> ‘ “</w:t>
      </w:r>
      <w:r w:rsidRPr="0052255D" w:rsidR="001930F2">
        <w:t>will not be disturbed unless there is a showing that the trial court acted in an arbitrary, capricious, or absurd manner resulting in a miscarriage of justice.” ’ ”  (</w:t>
      </w:r>
      <w:r w:rsidRPr="0052255D" w:rsidR="001930F2">
        <w:rPr>
          <w:i/>
          <w:iCs/>
        </w:rPr>
        <w:t xml:space="preserve">People v. Nieves </w:t>
      </w:r>
      <w:r w:rsidRPr="0052255D" w:rsidR="001930F2">
        <w:t>(2021) 11 Cal.5th 404, 445</w:t>
      </w:r>
      <w:r w:rsidRPr="0052255D" w:rsidR="00D42344">
        <w:t xml:space="preserve">; </w:t>
      </w:r>
      <w:r w:rsidRPr="0052255D" w:rsidR="00D42344">
        <w:rPr>
          <w:i/>
          <w:iCs/>
        </w:rPr>
        <w:t>People v. Rodriguez</w:t>
      </w:r>
      <w:r w:rsidRPr="0052255D" w:rsidR="00D42344">
        <w:t xml:space="preserve"> (1999) 20 Cal.4th 1, 9–10</w:t>
      </w:r>
      <w:r w:rsidRPr="0052255D" w:rsidR="001930F2">
        <w:t>.)</w:t>
      </w:r>
      <w:r w:rsidRPr="0052255D" w:rsidR="007A2EAB">
        <w:t xml:space="preserve">  “This standard of review affords considerable deference to the trial court provided that the court acted in accordance with the governing rules of law.  We presume that the court properly applied the law and acted within its discretion unless the appellant affirmatively shows otherwise.”  (</w:t>
      </w:r>
      <w:r w:rsidRPr="0052255D" w:rsidR="00382C5B">
        <w:rPr>
          <w:i/>
          <w:iCs/>
        </w:rPr>
        <w:t>Mejia v. City of Los Angeles</w:t>
      </w:r>
      <w:r w:rsidRPr="0052255D" w:rsidR="00382C5B">
        <w:t xml:space="preserve"> (2007) 156 Cal.App.4th 151, 15</w:t>
      </w:r>
      <w:r w:rsidR="007201CB">
        <w:t>8</w:t>
      </w:r>
      <w:r w:rsidRPr="0052255D" w:rsidR="00382C5B">
        <w:t xml:space="preserve">.) </w:t>
      </w:r>
    </w:p>
    <w:p w:rsidR="009B22CE" w:rsidP="0052255D">
      <w:pPr>
        <w:tabs>
          <w:tab w:val="left" w:pos="1440"/>
        </w:tabs>
        <w:ind w:firstLine="720"/>
      </w:pPr>
      <w:r w:rsidRPr="0052255D">
        <w:t xml:space="preserve">Under this </w:t>
      </w:r>
      <w:r w:rsidRPr="0052255D" w:rsidR="00761A9F">
        <w:t>deferential standard of review</w:t>
      </w:r>
      <w:r w:rsidRPr="0052255D">
        <w:t xml:space="preserve">, </w:t>
      </w:r>
      <w:r w:rsidRPr="0052255D" w:rsidR="00365B6B">
        <w:t>w</w:t>
      </w:r>
      <w:r w:rsidRPr="0052255D" w:rsidR="00583EF8">
        <w:t>e conclude</w:t>
      </w:r>
      <w:r w:rsidRPr="0052255D" w:rsidR="00365B6B">
        <w:t xml:space="preserve"> that</w:t>
      </w:r>
      <w:r w:rsidRPr="0052255D" w:rsidR="00583EF8">
        <w:t xml:space="preserve"> the trial court </w:t>
      </w:r>
      <w:r w:rsidRPr="0052255D" w:rsidR="000E6286">
        <w:t>acted within</w:t>
      </w:r>
      <w:r w:rsidRPr="0052255D" w:rsidR="00365B6B">
        <w:t xml:space="preserve"> its discretion when it </w:t>
      </w:r>
      <w:r w:rsidRPr="0052255D" w:rsidR="00583EF8">
        <w:t xml:space="preserve">excluded Carrillo’s statement.  At trial, Carrillo testified that defendant shot Johnson.  </w:t>
      </w:r>
      <w:r w:rsidRPr="0052255D" w:rsidR="000E6832">
        <w:t xml:space="preserve">He also gave detailed testimony regarding his involvement in the events leading to the shooting.  </w:t>
      </w:r>
      <w:r w:rsidRPr="0052255D" w:rsidR="005D7C64">
        <w:t>Defendant asserts that</w:t>
      </w:r>
      <w:r w:rsidRPr="0052255D" w:rsidR="002142C1">
        <w:t xml:space="preserve"> </w:t>
      </w:r>
      <w:r w:rsidRPr="0052255D" w:rsidR="00AE0C73">
        <w:t>Carrillo’s</w:t>
      </w:r>
      <w:r w:rsidRPr="0052255D" w:rsidR="00656659">
        <w:t xml:space="preserve"> alleged statement to Eagle that “everything pointed to </w:t>
      </w:r>
      <w:r w:rsidRPr="0052255D" w:rsidR="00D8388D">
        <w:t>T-Strong</w:t>
      </w:r>
      <w:r w:rsidRPr="0052255D" w:rsidR="00656659">
        <w:t>”</w:t>
      </w:r>
      <w:r w:rsidRPr="0052255D" w:rsidR="0037106E">
        <w:t xml:space="preserve"> </w:t>
      </w:r>
      <w:r w:rsidRPr="0052255D" w:rsidR="000E6832">
        <w:t>being the shooter</w:t>
      </w:r>
      <w:r w:rsidRPr="0052255D" w:rsidR="00656659">
        <w:t xml:space="preserve"> and</w:t>
      </w:r>
      <w:r w:rsidRPr="0052255D" w:rsidR="00AE0C73">
        <w:t xml:space="preserve"> he was “going to run with that”</w:t>
      </w:r>
      <w:r w:rsidRPr="0052255D" w:rsidR="005D7C64">
        <w:t xml:space="preserve"> allowed for an inference that Carrillo himself shot Johnson, conflicting with his testimony</w:t>
      </w:r>
      <w:r w:rsidRPr="0052255D" w:rsidR="002142C1">
        <w:t>.</w:t>
      </w:r>
      <w:r w:rsidRPr="0052255D" w:rsidR="00693212">
        <w:t xml:space="preserve"> </w:t>
      </w:r>
      <w:r w:rsidRPr="0052255D" w:rsidR="002142C1">
        <w:t xml:space="preserve"> </w:t>
      </w:r>
      <w:r w:rsidRPr="0052255D" w:rsidR="005D7C64">
        <w:t>But</w:t>
      </w:r>
      <w:r w:rsidRPr="0052255D" w:rsidR="00511A24">
        <w:t xml:space="preserve"> </w:t>
      </w:r>
      <w:r w:rsidRPr="0052255D" w:rsidR="001600CC">
        <w:t>th</w:t>
      </w:r>
      <w:r w:rsidR="001600CC">
        <w:t>e</w:t>
      </w:r>
      <w:r w:rsidRPr="0052255D" w:rsidR="001600CC">
        <w:t xml:space="preserve"> </w:t>
      </w:r>
      <w:r w:rsidRPr="0052255D" w:rsidR="002142C1">
        <w:t>statement</w:t>
      </w:r>
      <w:r w:rsidRPr="0052255D" w:rsidR="00511A24">
        <w:t>’s ambiguity</w:t>
      </w:r>
      <w:r w:rsidRPr="0052255D" w:rsidR="003E6313">
        <w:t xml:space="preserve"> </w:t>
      </w:r>
      <w:r w:rsidRPr="0052255D" w:rsidR="00511A24">
        <w:t>accommodates</w:t>
      </w:r>
      <w:r w:rsidRPr="0052255D" w:rsidR="004265A9">
        <w:t xml:space="preserve"> </w:t>
      </w:r>
      <w:r w:rsidRPr="0052255D" w:rsidR="00511A24">
        <w:t>a</w:t>
      </w:r>
      <w:r w:rsidRPr="0052255D" w:rsidR="00A1012B">
        <w:t xml:space="preserve"> </w:t>
      </w:r>
      <w:r w:rsidRPr="0052255D" w:rsidR="00E7052A">
        <w:t>more plausible interpretation</w:t>
      </w:r>
      <w:r w:rsidR="00C0394E">
        <w:t>, and one consistent with Carrillo’s testimony,</w:t>
      </w:r>
      <w:r w:rsidRPr="0052255D" w:rsidR="00511A24">
        <w:t xml:space="preserve"> as another identification of </w:t>
      </w:r>
      <w:r w:rsidRPr="0052255D" w:rsidR="003219FE">
        <w:t xml:space="preserve">defendant </w:t>
      </w:r>
      <w:r w:rsidRPr="0052255D" w:rsidR="00511A24">
        <w:t xml:space="preserve">as </w:t>
      </w:r>
      <w:r w:rsidRPr="0052255D" w:rsidR="003219FE">
        <w:t>Johnson</w:t>
      </w:r>
      <w:r w:rsidRPr="0052255D" w:rsidR="00511A24">
        <w:t>’s assailant</w:t>
      </w:r>
      <w:r w:rsidRPr="0052255D" w:rsidR="00D37A7C">
        <w:t xml:space="preserve">.  </w:t>
      </w:r>
      <w:r w:rsidRPr="0052255D" w:rsidR="00371341">
        <w:t>(</w:t>
      </w:r>
      <w:r w:rsidRPr="0052255D" w:rsidR="00E7052A">
        <w:rPr>
          <w:i/>
          <w:iCs/>
        </w:rPr>
        <w:t xml:space="preserve">People v. Najera </w:t>
      </w:r>
      <w:r w:rsidRPr="0052255D" w:rsidR="00E7052A">
        <w:t xml:space="preserve">(2006) </w:t>
      </w:r>
      <w:r w:rsidRPr="0052255D" w:rsidR="001208B9">
        <w:t xml:space="preserve">138 Cal.App.4th 212, 218–219; </w:t>
      </w:r>
      <w:r w:rsidRPr="0052255D" w:rsidR="00607EA9">
        <w:t xml:space="preserve">see also </w:t>
      </w:r>
      <w:r w:rsidRPr="0052255D" w:rsidR="00607EA9">
        <w:rPr>
          <w:i/>
          <w:iCs/>
        </w:rPr>
        <w:t xml:space="preserve">People v. Guillen </w:t>
      </w:r>
      <w:r w:rsidRPr="0052255D" w:rsidR="00607EA9">
        <w:t>(2014) 227 Cal.App.4th 934, 1024 [</w:t>
      </w:r>
      <w:r w:rsidRPr="0052255D" w:rsidR="00957FDC">
        <w:t xml:space="preserve">trial court properly excluded </w:t>
      </w:r>
      <w:r w:rsidRPr="0052255D" w:rsidR="00BE3CDF">
        <w:t xml:space="preserve">ambiguous </w:t>
      </w:r>
      <w:r w:rsidRPr="0052255D" w:rsidR="00957FDC">
        <w:t xml:space="preserve">statements as having </w:t>
      </w:r>
      <w:r w:rsidRPr="0052255D" w:rsidR="00BE3CDF">
        <w:t>little</w:t>
      </w:r>
      <w:r w:rsidRPr="0052255D" w:rsidR="00957FDC">
        <w:t xml:space="preserve"> probative value</w:t>
      </w:r>
      <w:r w:rsidRPr="0052255D" w:rsidR="00BE3CDF">
        <w:t>, contrary to defendant’s claim</w:t>
      </w:r>
      <w:r w:rsidRPr="0052255D" w:rsidR="00F84BF6">
        <w:t xml:space="preserve"> that </w:t>
      </w:r>
      <w:r w:rsidRPr="0052255D" w:rsidR="00B6607A">
        <w:t xml:space="preserve">the </w:t>
      </w:r>
      <w:r w:rsidRPr="0052255D" w:rsidR="00F84BF6">
        <w:t xml:space="preserve">statements implied </w:t>
      </w:r>
      <w:r w:rsidRPr="0052255D" w:rsidR="006773BE">
        <w:t xml:space="preserve">a </w:t>
      </w:r>
      <w:r w:rsidRPr="0052255D" w:rsidR="00F84BF6">
        <w:t xml:space="preserve">third party authorized </w:t>
      </w:r>
      <w:r w:rsidRPr="0052255D" w:rsidR="006773BE">
        <w:t xml:space="preserve">the </w:t>
      </w:r>
      <w:r w:rsidRPr="0052255D" w:rsidR="00F84BF6">
        <w:t>attack];</w:t>
      </w:r>
      <w:r w:rsidRPr="0052255D" w:rsidR="00957FDC">
        <w:t xml:space="preserve"> </w:t>
      </w:r>
      <w:r w:rsidRPr="0052255D" w:rsidR="00371341">
        <w:rPr>
          <w:i/>
          <w:iCs/>
        </w:rPr>
        <w:t xml:space="preserve">People v. Frye </w:t>
      </w:r>
      <w:r w:rsidRPr="0052255D" w:rsidR="00371341">
        <w:t>(1985) 166 Cal.App.3d 941, 951</w:t>
      </w:r>
      <w:r w:rsidRPr="0052255D" w:rsidR="003219FE">
        <w:t>.)</w:t>
      </w:r>
      <w:r w:rsidRPr="0052255D" w:rsidR="00372E1D">
        <w:t xml:space="preserve"> </w:t>
      </w:r>
      <w:r w:rsidRPr="0052255D" w:rsidR="009B4FE5">
        <w:t xml:space="preserve"> </w:t>
      </w:r>
      <w:r w:rsidR="00761308">
        <w:t>“F</w:t>
      </w:r>
      <w:r>
        <w:t xml:space="preserve">acing ‘two competing interpretations of the record, the standard of review decides the issue.’  [Citation.]  Since the evidence can reasonably </w:t>
      </w:r>
      <w:r w:rsidR="000C74E1">
        <w:t xml:space="preserve">be </w:t>
      </w:r>
      <w:r>
        <w:t>interpreted either way, we cannot say the trial court abused its discretion to rule as it did.”  (</w:t>
      </w:r>
      <w:r>
        <w:rPr>
          <w:i/>
          <w:iCs/>
        </w:rPr>
        <w:t xml:space="preserve">People v. Roberts </w:t>
      </w:r>
      <w:r>
        <w:t>(2021) 65</w:t>
      </w:r>
      <w:r w:rsidR="00E52A11">
        <w:t> </w:t>
      </w:r>
      <w:r>
        <w:t xml:space="preserve">Cal.App.5th 469, 477.)  </w:t>
      </w:r>
    </w:p>
    <w:p w:rsidR="00921DC3" w:rsidRPr="0052255D" w:rsidP="0052255D">
      <w:pPr>
        <w:tabs>
          <w:tab w:val="left" w:pos="1440"/>
        </w:tabs>
        <w:ind w:firstLine="720"/>
      </w:pPr>
      <w:r>
        <w:t xml:space="preserve">Moreover, </w:t>
      </w:r>
      <w:r w:rsidRPr="0052255D" w:rsidR="006F7945">
        <w:t>“</w:t>
      </w:r>
      <w:r>
        <w:t>[t]</w:t>
      </w:r>
      <w:r w:rsidRPr="0052255D">
        <w:t xml:space="preserve">he </w:t>
      </w:r>
      <w:r w:rsidRPr="0052255D" w:rsidR="006F7945">
        <w:t xml:space="preserve">statement’s ambiguity, and the weakness of the inference favorable to [defendant], not only diminished the statement’s relevance, but enhanced the risk its admission would have misled the jury.”  </w:t>
      </w:r>
      <w:r w:rsidRPr="0052255D" w:rsidR="00A14B32">
        <w:t>(</w:t>
      </w:r>
      <w:r w:rsidRPr="0052255D" w:rsidR="00A14B32">
        <w:rPr>
          <w:i/>
          <w:iCs/>
        </w:rPr>
        <w:t>Najera</w:t>
      </w:r>
      <w:r w:rsidRPr="0052255D" w:rsidR="00A14B32">
        <w:t xml:space="preserve">, </w:t>
      </w:r>
      <w:r w:rsidRPr="009B22CE">
        <w:rPr>
          <w:i/>
          <w:iCs/>
        </w:rPr>
        <w:t>supra</w:t>
      </w:r>
      <w:r>
        <w:t xml:space="preserve">, </w:t>
      </w:r>
      <w:r w:rsidRPr="0052255D">
        <w:t xml:space="preserve">138 Cal.App.4th </w:t>
      </w:r>
      <w:r w:rsidRPr="009B22CE" w:rsidR="00A14B32">
        <w:t>at</w:t>
      </w:r>
      <w:r w:rsidRPr="0052255D" w:rsidR="00A14B32">
        <w:t xml:space="preserve"> pp.</w:t>
      </w:r>
      <w:r w:rsidR="00C44E18">
        <w:t> </w:t>
      </w:r>
      <w:r w:rsidRPr="0052255D" w:rsidR="00A14B32">
        <w:t>218–219.)</w:t>
      </w:r>
      <w:r w:rsidRPr="0052255D" w:rsidR="00A14B32">
        <w:rPr>
          <w:i/>
          <w:iCs/>
        </w:rPr>
        <w:t xml:space="preserve">  </w:t>
      </w:r>
      <w:r w:rsidRPr="0052255D" w:rsidR="00A14B32">
        <w:t>As such, w</w:t>
      </w:r>
      <w:r w:rsidRPr="0052255D" w:rsidR="009B4FE5">
        <w:t xml:space="preserve">e </w:t>
      </w:r>
      <w:r w:rsidRPr="0052255D" w:rsidR="002E2D0A">
        <w:t xml:space="preserve">conclude that </w:t>
      </w:r>
      <w:r w:rsidRPr="0052255D" w:rsidR="00A64A73">
        <w:t>“[i]n excluding the statement, the trial court did not exercise its discretion ‘ “in an arbitrary, capricious or patently absurd manner that resulted in a manifest miscarriage of justice.” ’ ”  (</w:t>
      </w:r>
      <w:r>
        <w:rPr>
          <w:i/>
          <w:iCs/>
        </w:rPr>
        <w:t>Id.</w:t>
      </w:r>
      <w:r w:rsidRPr="0052255D" w:rsidR="00A64A73">
        <w:t>, at p. 219.)</w:t>
      </w:r>
    </w:p>
    <w:p w:rsidR="000B6247" w:rsidRPr="0052255D" w:rsidP="0052255D">
      <w:pPr>
        <w:pStyle w:val="Heading3"/>
      </w:pPr>
      <w:bookmarkStart w:id="21" w:name="_Toc94515341"/>
      <w:r w:rsidRPr="0052255D">
        <w:t>6</w:t>
      </w:r>
      <w:r w:rsidRPr="0052255D">
        <w:t xml:space="preserve">.  </w:t>
      </w:r>
      <w:r w:rsidRPr="0052255D" w:rsidR="00A63B41">
        <w:t>A</w:t>
      </w:r>
      <w:r w:rsidRPr="0052255D">
        <w:t xml:space="preserve">dmission of </w:t>
      </w:r>
      <w:r w:rsidRPr="0052255D" w:rsidR="00917776">
        <w:t>d</w:t>
      </w:r>
      <w:r w:rsidRPr="0052255D" w:rsidR="00C72125">
        <w:t xml:space="preserve">efendant’s </w:t>
      </w:r>
      <w:r w:rsidRPr="0052255D" w:rsidR="00A63B41">
        <w:t xml:space="preserve">statement </w:t>
      </w:r>
      <w:r w:rsidRPr="0052255D" w:rsidR="00F2282B">
        <w:t xml:space="preserve">to Perdon </w:t>
      </w:r>
      <w:bookmarkEnd w:id="21"/>
    </w:p>
    <w:p w:rsidR="000B6247" w:rsidRPr="0052255D" w:rsidP="0052255D">
      <w:pPr>
        <w:tabs>
          <w:tab w:val="left" w:pos="1440"/>
        </w:tabs>
        <w:ind w:firstLine="720"/>
      </w:pPr>
      <w:r w:rsidRPr="0052255D">
        <w:t xml:space="preserve">Defendant </w:t>
      </w:r>
      <w:r w:rsidRPr="0052255D" w:rsidR="00173AC7">
        <w:t>contends</w:t>
      </w:r>
      <w:r w:rsidRPr="0052255D" w:rsidR="00B85485">
        <w:t xml:space="preserve"> the trial court abused its discretion </w:t>
      </w:r>
      <w:r w:rsidRPr="0052255D" w:rsidR="008061CA">
        <w:t>when it permitted</w:t>
      </w:r>
      <w:r w:rsidRPr="0052255D" w:rsidR="00B85485">
        <w:t xml:space="preserve"> Masubayashi to testify </w:t>
      </w:r>
      <w:r w:rsidRPr="0052255D" w:rsidR="00531E43">
        <w:t xml:space="preserve">regarding </w:t>
      </w:r>
      <w:r w:rsidRPr="0052255D" w:rsidR="00B85485">
        <w:t xml:space="preserve">Perdon’s </w:t>
      </w:r>
      <w:r w:rsidRPr="0052255D" w:rsidR="00A233C3">
        <w:t xml:space="preserve">statement to him that defendant </w:t>
      </w:r>
      <w:r w:rsidRPr="0052255D" w:rsidR="008061CA">
        <w:t xml:space="preserve">had </w:t>
      </w:r>
      <w:r w:rsidRPr="0052255D" w:rsidR="00EE0F75">
        <w:t>bragged about</w:t>
      </w:r>
      <w:r w:rsidRPr="0052255D" w:rsidR="00531E43">
        <w:t xml:space="preserve"> killing</w:t>
      </w:r>
      <w:r w:rsidRPr="0052255D" w:rsidR="00A233C3">
        <w:t xml:space="preserve"> Johnson</w:t>
      </w:r>
      <w:r w:rsidRPr="0052255D" w:rsidR="0048664B">
        <w:t>, notwithstanding the hearsay character of this testimony</w:t>
      </w:r>
      <w:r w:rsidRPr="0052255D" w:rsidR="00A233C3">
        <w:t>.</w:t>
      </w:r>
      <w:r w:rsidRPr="0052255D" w:rsidR="006C6382">
        <w:t xml:space="preserve">  </w:t>
      </w:r>
      <w:r w:rsidRPr="0052255D" w:rsidR="00293F32">
        <w:t>Again, w</w:t>
      </w:r>
      <w:r w:rsidRPr="0052255D" w:rsidR="000E28DE">
        <w:t>e find no error.</w:t>
      </w:r>
    </w:p>
    <w:p w:rsidR="00A233C3" w:rsidRPr="0052255D" w:rsidP="0052255D">
      <w:pPr>
        <w:tabs>
          <w:tab w:val="left" w:pos="1440"/>
        </w:tabs>
        <w:ind w:firstLine="720"/>
      </w:pPr>
      <w:r w:rsidRPr="0052255D">
        <w:t>Shortly before trial, District Attorney Investigator Gary Hendricks interviewed Masubayashi.  During th</w:t>
      </w:r>
      <w:r w:rsidRPr="0052255D" w:rsidR="00A90461">
        <w:t>e interview, Masubayashi told Hendricks t</w:t>
      </w:r>
      <w:r w:rsidRPr="0052255D" w:rsidR="0007674A">
        <w:t xml:space="preserve">hat in 2000, just before Masubayashi went to the Anaheim Police Department, Perdon </w:t>
      </w:r>
      <w:r w:rsidRPr="0052255D" w:rsidR="001A11EC">
        <w:t>advised</w:t>
      </w:r>
      <w:r w:rsidRPr="0052255D" w:rsidR="0007674A">
        <w:t xml:space="preserve"> him that defendant</w:t>
      </w:r>
      <w:r w:rsidRPr="0052255D" w:rsidR="001A11EC">
        <w:t xml:space="preserve"> had</w:t>
      </w:r>
      <w:r w:rsidRPr="0052255D" w:rsidR="0007674A">
        <w:t xml:space="preserve"> </w:t>
      </w:r>
      <w:r w:rsidRPr="0052255D" w:rsidR="00DB144E">
        <w:t>told her, “I came in my pants when I saw that nigger flop</w:t>
      </w:r>
      <w:r w:rsidRPr="0052255D" w:rsidR="00B33743">
        <w:t>.</w:t>
      </w:r>
      <w:r w:rsidRPr="0052255D" w:rsidR="00DB144E">
        <w:t>”</w:t>
      </w:r>
      <w:r w:rsidRPr="0052255D" w:rsidR="00640219">
        <w:t xml:space="preserve">  </w:t>
      </w:r>
      <w:r w:rsidRPr="0052255D" w:rsidR="00DB144E">
        <w:t xml:space="preserve">Defendant was referring to Johnson when he purportedly made this statement.  </w:t>
      </w:r>
      <w:r w:rsidRPr="0052255D" w:rsidR="00282476">
        <w:t xml:space="preserve">Neither Masubayashi nor Perdon had disclosed this statement in any prior interview.  </w:t>
      </w:r>
    </w:p>
    <w:p w:rsidR="00471306" w:rsidRPr="0052255D" w:rsidP="0052255D">
      <w:pPr>
        <w:tabs>
          <w:tab w:val="left" w:pos="1440"/>
        </w:tabs>
        <w:ind w:firstLine="720"/>
      </w:pPr>
      <w:r w:rsidRPr="0052255D">
        <w:t xml:space="preserve">The trial court allowed the prosecution to ask Perdon about </w:t>
      </w:r>
      <w:r w:rsidRPr="0052255D" w:rsidR="000F249F">
        <w:t>def</w:t>
      </w:r>
      <w:r w:rsidRPr="0052255D">
        <w:t>e</w:t>
      </w:r>
      <w:r w:rsidRPr="0052255D" w:rsidR="000F249F">
        <w:t>ndant’s alleged</w:t>
      </w:r>
      <w:r w:rsidRPr="0052255D">
        <w:t xml:space="preserve"> statement</w:t>
      </w:r>
      <w:r w:rsidRPr="0052255D" w:rsidR="00075D68">
        <w:t xml:space="preserve"> to her</w:t>
      </w:r>
      <w:r w:rsidRPr="0052255D" w:rsidR="00EB669F">
        <w:t xml:space="preserve">.  </w:t>
      </w:r>
      <w:r w:rsidRPr="0052255D" w:rsidR="00075D68">
        <w:t>(See Evid. Code, § 1220</w:t>
      </w:r>
      <w:r w:rsidRPr="0052255D" w:rsidR="0048664B">
        <w:t xml:space="preserve"> [hearsay exception for statements made by a party-opponent]</w:t>
      </w:r>
      <w:r w:rsidRPr="0052255D" w:rsidR="00075D68">
        <w:t xml:space="preserve">.)  </w:t>
      </w:r>
      <w:r w:rsidRPr="0052255D" w:rsidR="00047802">
        <w:t>On direct examination, the prosecution asked Perdon if defendant ever spoke with her about a shooting that took place in 1997, or any shooting, o</w:t>
      </w:r>
      <w:r w:rsidRPr="0052255D" w:rsidR="0080180F">
        <w:t>r</w:t>
      </w:r>
      <w:r w:rsidRPr="0052255D" w:rsidR="00047802">
        <w:t xml:space="preserve"> if he ever made the statement</w:t>
      </w:r>
      <w:r w:rsidRPr="0052255D" w:rsidR="004B60A7">
        <w:t xml:space="preserve"> described above.</w:t>
      </w:r>
      <w:r w:rsidRPr="0052255D" w:rsidR="00047802">
        <w:t xml:space="preserve">  </w:t>
      </w:r>
      <w:r w:rsidRPr="0052255D" w:rsidR="00C24E53">
        <w:t>Each time, Perdon responded, “I</w:t>
      </w:r>
      <w:r w:rsidR="00C44E18">
        <w:t> </w:t>
      </w:r>
      <w:r w:rsidRPr="0052255D" w:rsidR="00C24E53">
        <w:t xml:space="preserve">can’t remember.”  </w:t>
      </w:r>
      <w:r w:rsidRPr="0052255D" w:rsidR="006B5D91">
        <w:t xml:space="preserve">Perdon </w:t>
      </w:r>
      <w:r w:rsidRPr="0052255D" w:rsidR="00C24E53">
        <w:t xml:space="preserve">testified that she </w:t>
      </w:r>
      <w:r w:rsidRPr="0052255D" w:rsidR="002E63E2">
        <w:t xml:space="preserve">may have seen defendant at Quiambao’s house on a few occasions, but </w:t>
      </w:r>
      <w:r w:rsidRPr="0052255D" w:rsidR="00C24E53">
        <w:t>could not remember</w:t>
      </w:r>
      <w:r w:rsidRPr="0052255D" w:rsidR="006B5D91">
        <w:t xml:space="preserve"> </w:t>
      </w:r>
      <w:r w:rsidRPr="0052255D" w:rsidR="002E63E2">
        <w:t>telling</w:t>
      </w:r>
      <w:r w:rsidRPr="0052255D" w:rsidR="006B5D91">
        <w:t xml:space="preserve"> Masubayashi </w:t>
      </w:r>
      <w:r w:rsidRPr="0052255D" w:rsidR="002E63E2">
        <w:t>about her conversations with defendant</w:t>
      </w:r>
      <w:r w:rsidRPr="0052255D" w:rsidR="006B5D91">
        <w:t xml:space="preserve">.    </w:t>
      </w:r>
    </w:p>
    <w:p w:rsidR="00C24E53" w:rsidRPr="0052255D" w:rsidP="0052255D">
      <w:pPr>
        <w:tabs>
          <w:tab w:val="left" w:pos="1440"/>
        </w:tabs>
        <w:ind w:firstLine="720"/>
      </w:pPr>
      <w:r w:rsidRPr="0052255D">
        <w:t xml:space="preserve">The trial court found </w:t>
      </w:r>
      <w:r w:rsidRPr="0052255D" w:rsidR="00BA5D07">
        <w:t xml:space="preserve">there was </w:t>
      </w:r>
      <w:r w:rsidRPr="0052255D">
        <w:t xml:space="preserve">a reasonable basis </w:t>
      </w:r>
      <w:r w:rsidRPr="0052255D" w:rsidR="00BA5D07">
        <w:t xml:space="preserve">in the record </w:t>
      </w:r>
      <w:r w:rsidRPr="0052255D">
        <w:t xml:space="preserve">to conclude that Perdon’s </w:t>
      </w:r>
      <w:r w:rsidRPr="0052255D" w:rsidR="00B35984">
        <w:t>testimony regarding defendant’s alleged statement to her was</w:t>
      </w:r>
      <w:r w:rsidRPr="0052255D">
        <w:t xml:space="preserve"> evasive and untruthful</w:t>
      </w:r>
      <w:r w:rsidRPr="0052255D" w:rsidR="00323644">
        <w:t xml:space="preserve"> such that her prior statements would be considered inconsistent</w:t>
      </w:r>
      <w:r w:rsidRPr="0052255D">
        <w:t xml:space="preserve">.  </w:t>
      </w:r>
      <w:r w:rsidRPr="0052255D" w:rsidR="00490EAF">
        <w:t xml:space="preserve">It noted that </w:t>
      </w:r>
      <w:r w:rsidRPr="0052255D" w:rsidR="004C000D">
        <w:t>Perdon said she did not recall</w:t>
      </w:r>
      <w:r w:rsidRPr="0052255D" w:rsidR="0093525D">
        <w:t xml:space="preserve"> whether defendant made th</w:t>
      </w:r>
      <w:r w:rsidRPr="0052255D" w:rsidR="004C43D9">
        <w:t xml:space="preserve">is </w:t>
      </w:r>
      <w:r w:rsidRPr="0052255D" w:rsidR="0093525D">
        <w:t>statement</w:t>
      </w:r>
      <w:r w:rsidRPr="0052255D" w:rsidR="004C43D9">
        <w:t xml:space="preserve">, </w:t>
      </w:r>
      <w:r w:rsidRPr="0052255D" w:rsidR="0093525D">
        <w:t xml:space="preserve">but on other occasions she seemed to say that certain things were true.  </w:t>
      </w:r>
      <w:r w:rsidRPr="0052255D" w:rsidR="00107F7A">
        <w:t xml:space="preserve">The court explained that Perdon’s inability to recall </w:t>
      </w:r>
      <w:r w:rsidRPr="0052255D" w:rsidR="00D44DFF">
        <w:t>whether such</w:t>
      </w:r>
      <w:r w:rsidRPr="0052255D" w:rsidR="00107F7A">
        <w:t xml:space="preserve"> an inflammatory statement</w:t>
      </w:r>
      <w:r w:rsidRPr="0052255D" w:rsidR="00D44DFF">
        <w:t xml:space="preserve"> was made</w:t>
      </w:r>
      <w:r w:rsidRPr="0052255D" w:rsidR="00107F7A">
        <w:t xml:space="preserve">, </w:t>
      </w:r>
      <w:r w:rsidRPr="0052255D" w:rsidR="00ED6B65">
        <w:t>considered in light of</w:t>
      </w:r>
      <w:r w:rsidRPr="0052255D" w:rsidR="00D44DFF">
        <w:t xml:space="preserve"> her ability to remember certain </w:t>
      </w:r>
      <w:r w:rsidRPr="0052255D" w:rsidR="00ED6B65">
        <w:t xml:space="preserve">other </w:t>
      </w:r>
      <w:r w:rsidRPr="0052255D" w:rsidR="00D44DFF">
        <w:t>things</w:t>
      </w:r>
      <w:r w:rsidRPr="0052255D" w:rsidR="00682BA0">
        <w:t xml:space="preserve"> </w:t>
      </w:r>
      <w:r w:rsidRPr="0052255D" w:rsidR="004314C8">
        <w:t xml:space="preserve">from </w:t>
      </w:r>
      <w:r w:rsidRPr="0052255D" w:rsidR="00682BA0">
        <w:t>that time</w:t>
      </w:r>
      <w:r w:rsidRPr="0052255D" w:rsidR="004314C8">
        <w:t xml:space="preserve"> period</w:t>
      </w:r>
      <w:r w:rsidRPr="0052255D" w:rsidR="00D44DFF">
        <w:t xml:space="preserve">, was indicative of her being evasive and untruthful.  </w:t>
      </w:r>
      <w:r w:rsidRPr="0052255D" w:rsidR="00630770">
        <w:t>Masubayashi subsequently testified</w:t>
      </w:r>
      <w:r w:rsidRPr="0052255D" w:rsidR="00075D68">
        <w:t xml:space="preserve"> to </w:t>
      </w:r>
      <w:r w:rsidRPr="0052255D" w:rsidR="00A159AC">
        <w:t>Perdon’s recounting of defendant’s statement.</w:t>
      </w:r>
      <w:r w:rsidRPr="0052255D" w:rsidR="00630770">
        <w:t xml:space="preserve">  </w:t>
      </w:r>
      <w:r w:rsidRPr="0052255D" w:rsidR="008C55E9">
        <w:t xml:space="preserve">  </w:t>
      </w:r>
    </w:p>
    <w:p w:rsidR="008765E2" w:rsidRPr="0052255D" w:rsidP="0052255D">
      <w:pPr>
        <w:tabs>
          <w:tab w:val="left" w:pos="1440"/>
        </w:tabs>
        <w:ind w:firstLine="720"/>
      </w:pPr>
      <w:r w:rsidRPr="0052255D">
        <w:t xml:space="preserve">As noted, </w:t>
      </w:r>
      <w:r w:rsidRPr="0052255D">
        <w:t xml:space="preserve">the </w:t>
      </w:r>
      <w:r w:rsidRPr="0052255D" w:rsidR="001A7932">
        <w:t>“ ‘</w:t>
      </w:r>
      <w:r w:rsidRPr="0052255D">
        <w:t>fundamental requirement</w:t>
      </w:r>
      <w:r w:rsidRPr="0052255D" w:rsidR="001A7932">
        <w:t>’ ”</w:t>
      </w:r>
      <w:r w:rsidRPr="0052255D">
        <w:t xml:space="preserve"> of Evidence Code section 1235 is that </w:t>
      </w:r>
      <w:r w:rsidRPr="0052255D" w:rsidR="00753635">
        <w:t>a witness’s prior statement must actually be inconsistent with his or her trial testimony</w:t>
      </w:r>
      <w:r w:rsidRPr="0052255D" w:rsidR="00C05783">
        <w:t>.</w:t>
      </w:r>
      <w:r w:rsidRPr="0052255D" w:rsidR="0045016D">
        <w:t xml:space="preserve">  </w:t>
      </w:r>
      <w:r w:rsidRPr="0052255D" w:rsidR="00576920">
        <w:t>(</w:t>
      </w:r>
      <w:r w:rsidRPr="0052255D" w:rsidR="00576920">
        <w:rPr>
          <w:i/>
          <w:iCs/>
        </w:rPr>
        <w:t>Johnson</w:t>
      </w:r>
      <w:r w:rsidRPr="0052255D" w:rsidR="00576920">
        <w:t xml:space="preserve">, </w:t>
      </w:r>
      <w:r w:rsidRPr="0052255D" w:rsidR="00576920">
        <w:rPr>
          <w:i/>
          <w:iCs/>
        </w:rPr>
        <w:t>supra</w:t>
      </w:r>
      <w:r w:rsidRPr="0052255D" w:rsidR="00576920">
        <w:t xml:space="preserve">, 3 Cal.4th at p. 1219.)  </w:t>
      </w:r>
      <w:r w:rsidRPr="0052255D" w:rsidR="0045016D">
        <w:t>“ ‘</w:t>
      </w:r>
      <w:r w:rsidR="000D3C35">
        <w:t> “</w:t>
      </w:r>
      <w:r w:rsidRPr="0052255D" w:rsidR="0045016D">
        <w:t>Inconsistency in effect, rather than contradiction in express terms, is the test for admitting a witness’[s] prior statement</w:t>
      </w:r>
      <w:r w:rsidRPr="0052255D" w:rsidR="00EB7188">
        <w:t xml:space="preserve"> </w:t>
      </w:r>
      <w:r w:rsidRPr="0052255D" w:rsidR="0045016D">
        <w:t>. . . .</w:t>
      </w:r>
      <w:r w:rsidR="00BD5C5E">
        <w:t>” </w:t>
      </w:r>
      <w:r w:rsidRPr="0052255D" w:rsidR="0045016D">
        <w:t xml:space="preserve">’ ” </w:t>
      </w:r>
      <w:r w:rsidRPr="0052255D" w:rsidR="00800115">
        <w:t xml:space="preserve"> (</w:t>
      </w:r>
      <w:r w:rsidRPr="0052255D" w:rsidR="00800115">
        <w:rPr>
          <w:i/>
          <w:iCs/>
        </w:rPr>
        <w:t>Cowan</w:t>
      </w:r>
      <w:r w:rsidRPr="0052255D" w:rsidR="00800115">
        <w:t xml:space="preserve">, </w:t>
      </w:r>
      <w:r w:rsidRPr="0052255D" w:rsidR="00800115">
        <w:rPr>
          <w:i/>
          <w:iCs/>
        </w:rPr>
        <w:t>supra</w:t>
      </w:r>
      <w:r w:rsidRPr="0052255D" w:rsidR="00800115">
        <w:t>, 50 Cal.4th at p. 462.)</w:t>
      </w:r>
      <w:r w:rsidRPr="0052255D" w:rsidR="0045016D">
        <w:t xml:space="preserve"> </w:t>
      </w:r>
      <w:r w:rsidRPr="0052255D" w:rsidR="0081738F">
        <w:t xml:space="preserve"> </w:t>
      </w:r>
      <w:r w:rsidRPr="0052255D" w:rsidR="00D767F2">
        <w:t>“</w:t>
      </w:r>
      <w:r w:rsidRPr="0052255D" w:rsidR="0045016D">
        <w:t xml:space="preserve">Thus, for example, ‘ “[w]hen a witness’s claim of lack of memory amounts to deliberate evasion, inconsistency is implied. </w:t>
      </w:r>
      <w:r w:rsidRPr="0052255D" w:rsidR="0081738F">
        <w:t xml:space="preserve"> </w:t>
      </w:r>
      <w:r w:rsidRPr="0052255D" w:rsidR="0045016D">
        <w:t xml:space="preserve">[Citation.] </w:t>
      </w:r>
      <w:r w:rsidRPr="0052255D" w:rsidR="0081738F">
        <w:t xml:space="preserve"> </w:t>
      </w:r>
      <w:r w:rsidRPr="0052255D" w:rsidR="0045016D">
        <w:t>As long as there is a reasonable basis in the record for concluding that the witness’s ‘I don’t remember’ statements are evasive and untruthful, admission of his or her prior statements is proper.” ’</w:t>
      </w:r>
      <w:r w:rsidRPr="0052255D" w:rsidR="00EB7188">
        <w:t> </w:t>
      </w:r>
      <w:r w:rsidRPr="0052255D" w:rsidR="0045016D">
        <w:t>”</w:t>
      </w:r>
      <w:r w:rsidRPr="0052255D" w:rsidR="00576920">
        <w:t xml:space="preserve">  (</w:t>
      </w:r>
      <w:r w:rsidRPr="0052255D" w:rsidR="00576920">
        <w:rPr>
          <w:i/>
          <w:iCs/>
        </w:rPr>
        <w:t xml:space="preserve">People v. Homick </w:t>
      </w:r>
      <w:r w:rsidRPr="0052255D" w:rsidR="00576920">
        <w:t>(2012) 55 Cal.4th 816, 859</w:t>
      </w:r>
      <w:r w:rsidRPr="0052255D" w:rsidR="00DD2283">
        <w:t xml:space="preserve">; </w:t>
      </w:r>
      <w:r w:rsidRPr="0052255D" w:rsidR="00D37EDC">
        <w:t xml:space="preserve">see also </w:t>
      </w:r>
      <w:r w:rsidRPr="0052255D" w:rsidR="00075CB2">
        <w:rPr>
          <w:i/>
          <w:iCs/>
        </w:rPr>
        <w:t>Johnson</w:t>
      </w:r>
      <w:r w:rsidRPr="0052255D" w:rsidR="00451F8A">
        <w:t>, at pp.</w:t>
      </w:r>
      <w:r w:rsidRPr="0052255D" w:rsidR="00E9019B">
        <w:t> </w:t>
      </w:r>
      <w:r w:rsidRPr="0052255D" w:rsidR="00075CB2">
        <w:t>1219–1220</w:t>
      </w:r>
      <w:r w:rsidRPr="0052255D" w:rsidR="008A421C">
        <w:t>.</w:t>
      </w:r>
      <w:r w:rsidRPr="0052255D" w:rsidR="00576920">
        <w:t xml:space="preserve">)  </w:t>
      </w:r>
    </w:p>
    <w:p w:rsidR="00F75D3B" w:rsidRPr="0052255D" w:rsidP="0052255D">
      <w:pPr>
        <w:tabs>
          <w:tab w:val="left" w:pos="1440"/>
        </w:tabs>
        <w:ind w:firstLine="720"/>
      </w:pPr>
      <w:r w:rsidRPr="0052255D">
        <w:t xml:space="preserve">In </w:t>
      </w:r>
      <w:r w:rsidRPr="0052255D">
        <w:rPr>
          <w:i/>
          <w:iCs/>
        </w:rPr>
        <w:t xml:space="preserve">People v. </w:t>
      </w:r>
      <w:r w:rsidRPr="0052255D" w:rsidR="005753BF">
        <w:rPr>
          <w:i/>
          <w:iCs/>
        </w:rPr>
        <w:t>Ledesma</w:t>
      </w:r>
      <w:r w:rsidRPr="0052255D" w:rsidR="000905A8">
        <w:rPr>
          <w:i/>
          <w:iCs/>
        </w:rPr>
        <w:t xml:space="preserve"> </w:t>
      </w:r>
      <w:r w:rsidRPr="0052255D" w:rsidR="005753BF">
        <w:t>(2006) 39 Cal.4th 641, 7</w:t>
      </w:r>
      <w:r w:rsidRPr="0052255D" w:rsidR="006F5BA1">
        <w:t xml:space="preserve">12, </w:t>
      </w:r>
      <w:r w:rsidRPr="0052255D" w:rsidR="00334030">
        <w:t xml:space="preserve">for example, </w:t>
      </w:r>
      <w:r w:rsidRPr="0052255D" w:rsidR="006F5BA1">
        <w:t xml:space="preserve">we held that the trial court properly admitted </w:t>
      </w:r>
      <w:r w:rsidRPr="0052255D" w:rsidR="000905A8">
        <w:t xml:space="preserve">the witness’s prior statements to a police officer </w:t>
      </w:r>
      <w:r w:rsidRPr="0052255D" w:rsidR="008C1E0C">
        <w:t xml:space="preserve">under the hearsay exception for </w:t>
      </w:r>
      <w:r w:rsidRPr="0052255D" w:rsidR="000905A8">
        <w:t>prior inconsistent statement</w:t>
      </w:r>
      <w:r w:rsidRPr="0052255D" w:rsidR="008C1E0C">
        <w:t>s</w:t>
      </w:r>
      <w:r w:rsidRPr="0052255D" w:rsidR="005069FF">
        <w:t xml:space="preserve"> because the record provided a reasonable basis to conclude </w:t>
      </w:r>
      <w:r w:rsidRPr="0052255D" w:rsidR="007C7848">
        <w:t>her subsequent “I don’t remember” testimony was evasive and untruthful</w:t>
      </w:r>
      <w:r w:rsidRPr="0052255D" w:rsidR="000905A8">
        <w:t>.  We</w:t>
      </w:r>
      <w:r w:rsidRPr="0052255D" w:rsidR="005069FF">
        <w:t xml:space="preserve"> </w:t>
      </w:r>
      <w:r w:rsidRPr="0052255D" w:rsidR="007C7848">
        <w:t>no</w:t>
      </w:r>
      <w:r w:rsidRPr="0052255D" w:rsidR="00845BBB">
        <w:t>ted that the witness had been the defendant’s friend, admitted she was reluctant to testify, had failed to appear at a previous hearing</w:t>
      </w:r>
      <w:r w:rsidRPr="0052255D" w:rsidR="00BF06EB">
        <w:t>, and claimed that even reading her prior testimony and list</w:t>
      </w:r>
      <w:r w:rsidRPr="0052255D" w:rsidR="004263F2">
        <w:t>en</w:t>
      </w:r>
      <w:r w:rsidRPr="0052255D" w:rsidR="00BF06EB">
        <w:t>ing to a tape</w:t>
      </w:r>
      <w:r w:rsidRPr="0052255D" w:rsidR="00703FB0">
        <w:t>d</w:t>
      </w:r>
      <w:r w:rsidRPr="0052255D" w:rsidR="00BF06EB">
        <w:t xml:space="preserve"> recording of her police interview did not refresh her recollection</w:t>
      </w:r>
      <w:r w:rsidRPr="0052255D" w:rsidR="00845BBB">
        <w:t xml:space="preserve">.  </w:t>
      </w:r>
      <w:r w:rsidRPr="0052255D" w:rsidR="00BF06EB">
        <w:t>(</w:t>
      </w:r>
      <w:r w:rsidRPr="0052255D" w:rsidR="00BF06EB">
        <w:rPr>
          <w:i/>
          <w:iCs/>
        </w:rPr>
        <w:t>I</w:t>
      </w:r>
      <w:r w:rsidRPr="0052255D" w:rsidR="00497410">
        <w:rPr>
          <w:i/>
          <w:iCs/>
        </w:rPr>
        <w:t>bid.</w:t>
      </w:r>
      <w:r w:rsidRPr="0052255D" w:rsidR="00630EB6">
        <w:t xml:space="preserve">; </w:t>
      </w:r>
      <w:r w:rsidRPr="0052255D" w:rsidR="00281F02">
        <w:t xml:space="preserve">see also </w:t>
      </w:r>
      <w:r w:rsidRPr="0052255D" w:rsidR="00281F02">
        <w:rPr>
          <w:i/>
          <w:iCs/>
        </w:rPr>
        <w:t xml:space="preserve">People v. Bryant, Smith and Wheeler </w:t>
      </w:r>
      <w:r w:rsidRPr="0052255D" w:rsidR="00281F02">
        <w:t>(2014) 60 Cal.4th 335, 415 [upholding trial court’s ruling that witness’s claimed failure of recollection was actually deliberate evasion tantamount to denial whe</w:t>
      </w:r>
      <w:r w:rsidRPr="0052255D" w:rsidR="001E6958">
        <w:t>n</w:t>
      </w:r>
      <w:r w:rsidRPr="0052255D" w:rsidR="00281F02">
        <w:t xml:space="preserve"> record showed that witness was able to recall defendant’s statements during a police interview conducted 10</w:t>
      </w:r>
      <w:r w:rsidRPr="0052255D" w:rsidR="00B72B41">
        <w:t> </w:t>
      </w:r>
      <w:r w:rsidRPr="0052255D" w:rsidR="00281F02">
        <w:t>years after the murder, but claimed memory loss when he testified two and a half years later]</w:t>
      </w:r>
      <w:r w:rsidRPr="0052255D" w:rsidR="00BF06EB">
        <w:t>.)</w:t>
      </w:r>
    </w:p>
    <w:p w:rsidR="00963F3E" w:rsidRPr="0052255D" w:rsidP="0052255D">
      <w:pPr>
        <w:tabs>
          <w:tab w:val="left" w:pos="1440"/>
        </w:tabs>
        <w:ind w:firstLine="720"/>
      </w:pPr>
      <w:r w:rsidRPr="0052255D">
        <w:t>W</w:t>
      </w:r>
      <w:r w:rsidRPr="0052255D" w:rsidR="000F167C">
        <w:t xml:space="preserve">e </w:t>
      </w:r>
      <w:r w:rsidRPr="0052255D" w:rsidR="00AA6F87">
        <w:t xml:space="preserve">conclude </w:t>
      </w:r>
      <w:r w:rsidRPr="0052255D" w:rsidR="00BF0873">
        <w:t>there was</w:t>
      </w:r>
      <w:r w:rsidRPr="0052255D" w:rsidR="00AF2CE6">
        <w:t xml:space="preserve"> a </w:t>
      </w:r>
      <w:r w:rsidRPr="0052255D" w:rsidR="00BF0873">
        <w:t>sufficient</w:t>
      </w:r>
      <w:r w:rsidRPr="0052255D" w:rsidR="00AF2CE6">
        <w:t xml:space="preserve"> basis for the trial court </w:t>
      </w:r>
      <w:r w:rsidRPr="0052255D" w:rsidR="00BF0873">
        <w:t>to have concluded</w:t>
      </w:r>
      <w:r w:rsidRPr="0052255D" w:rsidR="00EC6E0D">
        <w:t xml:space="preserve"> that Perdon’s </w:t>
      </w:r>
      <w:r w:rsidRPr="0052255D" w:rsidR="004708C7">
        <w:t>forgetfulness at trial was deliberately evasive</w:t>
      </w:r>
      <w:r w:rsidRPr="0052255D" w:rsidR="00513E3B">
        <w:t xml:space="preserve">, such that the court did not abuse its discretion in finding the challenged statement admissible notwithstanding the </w:t>
      </w:r>
      <w:r w:rsidRPr="0052255D" w:rsidR="00576D19">
        <w:t xml:space="preserve">general </w:t>
      </w:r>
      <w:r w:rsidRPr="0052255D" w:rsidR="00513E3B">
        <w:t>hearsay bar</w:t>
      </w:r>
      <w:r w:rsidRPr="0052255D" w:rsidR="004708C7">
        <w:t xml:space="preserve">.  </w:t>
      </w:r>
      <w:r w:rsidRPr="0052255D" w:rsidR="00742318">
        <w:t xml:space="preserve">As observed earlier, </w:t>
      </w:r>
      <w:r w:rsidRPr="0052255D" w:rsidR="009F5B56">
        <w:t xml:space="preserve">Perdon </w:t>
      </w:r>
      <w:r w:rsidRPr="0052255D" w:rsidR="007F0A0D">
        <w:t>and defendant’s brother were friends</w:t>
      </w:r>
      <w:r w:rsidRPr="0052255D" w:rsidR="006B6957">
        <w:t>, and she associated with other Pinoy Real gang members</w:t>
      </w:r>
      <w:r w:rsidRPr="0052255D" w:rsidR="007F0A0D">
        <w:t xml:space="preserve">.  She </w:t>
      </w:r>
      <w:r w:rsidRPr="0052255D" w:rsidR="009F5B56">
        <w:t xml:space="preserve">recalled spending time at Quiambao’s house in 1999 and testified that she may have seen defendant there a few times and had conversations with him, but she could not remember if </w:t>
      </w:r>
      <w:r w:rsidRPr="0052255D" w:rsidR="00EC6E0D">
        <w:t xml:space="preserve">defendant </w:t>
      </w:r>
      <w:r w:rsidRPr="0052255D" w:rsidR="007C267E">
        <w:t xml:space="preserve">had made the statement in </w:t>
      </w:r>
      <w:r w:rsidRPr="0052255D" w:rsidR="00574F6B">
        <w:t xml:space="preserve">question in </w:t>
      </w:r>
      <w:r w:rsidRPr="0052255D" w:rsidR="007C267E">
        <w:t xml:space="preserve">which he </w:t>
      </w:r>
      <w:r w:rsidRPr="0052255D" w:rsidR="00574F6B">
        <w:t>bragged about</w:t>
      </w:r>
      <w:r w:rsidRPr="0052255D" w:rsidR="007C267E">
        <w:t xml:space="preserve"> shooting Johnson.</w:t>
      </w:r>
      <w:r w:rsidRPr="0052255D" w:rsidR="008A6EE1">
        <w:t xml:space="preserve">  </w:t>
      </w:r>
      <w:r w:rsidRPr="0052255D" w:rsidR="00642D6B">
        <w:t>The trial court</w:t>
      </w:r>
      <w:r w:rsidRPr="0052255D" w:rsidR="00E71073">
        <w:t xml:space="preserve">, which had the benefit of observing </w:t>
      </w:r>
      <w:r w:rsidRPr="0052255D" w:rsidR="008D379A">
        <w:t>Perdon’s demeanor,</w:t>
      </w:r>
      <w:r w:rsidRPr="0052255D" w:rsidR="00642D6B">
        <w:t xml:space="preserve"> </w:t>
      </w:r>
      <w:r w:rsidRPr="0052255D" w:rsidR="00E71073">
        <w:t xml:space="preserve">could </w:t>
      </w:r>
      <w:r w:rsidRPr="0052255D" w:rsidR="00C659B5">
        <w:t xml:space="preserve">find </w:t>
      </w:r>
      <w:r w:rsidRPr="0052255D" w:rsidR="0081478E">
        <w:t xml:space="preserve">that </w:t>
      </w:r>
      <w:r w:rsidRPr="0052255D" w:rsidR="00FD2D5C">
        <w:t>Perdon was deliberately evasive when</w:t>
      </w:r>
      <w:r w:rsidRPr="0052255D" w:rsidR="00C659B5">
        <w:t xml:space="preserve"> </w:t>
      </w:r>
      <w:r w:rsidRPr="0052255D" w:rsidR="00FD2D5C">
        <w:t>she claimed</w:t>
      </w:r>
      <w:r w:rsidRPr="0052255D" w:rsidR="00C659B5">
        <w:t xml:space="preserve"> </w:t>
      </w:r>
      <w:r w:rsidRPr="0052255D" w:rsidR="00FD2D5C">
        <w:t>not to</w:t>
      </w:r>
      <w:r w:rsidRPr="0052255D" w:rsidR="00C659B5">
        <w:t xml:space="preserve"> recall</w:t>
      </w:r>
      <w:r w:rsidRPr="0052255D" w:rsidR="00642D6B">
        <w:t xml:space="preserve"> whether defendant made such an inflammatory statement, while </w:t>
      </w:r>
      <w:r w:rsidR="00937FF6">
        <w:t xml:space="preserve">at the same time </w:t>
      </w:r>
      <w:r w:rsidRPr="0052255D" w:rsidR="004E2D1F">
        <w:t xml:space="preserve">she </w:t>
      </w:r>
      <w:r w:rsidRPr="0052255D" w:rsidR="00C659B5">
        <w:t>could recollect</w:t>
      </w:r>
      <w:r w:rsidRPr="0052255D" w:rsidR="0022573D">
        <w:t xml:space="preserve"> other details </w:t>
      </w:r>
      <w:r w:rsidRPr="0052255D" w:rsidR="00075D68">
        <w:t xml:space="preserve">associated with </w:t>
      </w:r>
      <w:r w:rsidRPr="0052255D" w:rsidR="0022573D">
        <w:t xml:space="preserve">that time period.  </w:t>
      </w:r>
      <w:r w:rsidRPr="0052255D" w:rsidR="00B739B3">
        <w:t xml:space="preserve">Accordingly, </w:t>
      </w:r>
      <w:r w:rsidRPr="0052255D" w:rsidR="0048664B">
        <w:t xml:space="preserve">we find no error in the admission of </w:t>
      </w:r>
      <w:r w:rsidRPr="0052255D" w:rsidR="00B739B3">
        <w:t>Perdon’s statement relaying defendant’s confession</w:t>
      </w:r>
      <w:r w:rsidRPr="0052255D" w:rsidR="008A6EE1">
        <w:t>.  (</w:t>
      </w:r>
      <w:r w:rsidRPr="0052255D" w:rsidR="009F3D62">
        <w:t xml:space="preserve">See </w:t>
      </w:r>
      <w:r w:rsidRPr="0052255D" w:rsidR="008A6EE1">
        <w:rPr>
          <w:i/>
          <w:iCs/>
        </w:rPr>
        <w:t xml:space="preserve">People v. Anderson </w:t>
      </w:r>
      <w:r w:rsidRPr="0052255D" w:rsidR="008A6EE1">
        <w:t>(2018) 5</w:t>
      </w:r>
      <w:r w:rsidRPr="0052255D" w:rsidR="00B72B41">
        <w:t> </w:t>
      </w:r>
      <w:r w:rsidRPr="0052255D" w:rsidR="008A6EE1">
        <w:t>Cal.5th 372, 403</w:t>
      </w:r>
      <w:r w:rsidRPr="0052255D" w:rsidR="00E07818">
        <w:t xml:space="preserve"> </w:t>
      </w:r>
      <w:r w:rsidRPr="0052255D" w:rsidR="00684F8D">
        <w:t>[multiple hearsay consisting of prior inconsistent statement and admission of defendant is admissible]</w:t>
      </w:r>
      <w:r w:rsidRPr="0052255D" w:rsidR="00E41109">
        <w:t xml:space="preserve">.)  </w:t>
      </w:r>
    </w:p>
    <w:p w:rsidR="000B6247" w:rsidRPr="0052255D" w:rsidP="0052255D">
      <w:pPr>
        <w:pStyle w:val="Heading3"/>
      </w:pPr>
      <w:bookmarkStart w:id="22" w:name="_Toc94515342"/>
      <w:r w:rsidRPr="0052255D">
        <w:t>7</w:t>
      </w:r>
      <w:r w:rsidRPr="0052255D">
        <w:t xml:space="preserve">.  </w:t>
      </w:r>
      <w:r w:rsidRPr="0052255D" w:rsidR="00183EB6">
        <w:t>F</w:t>
      </w:r>
      <w:r w:rsidRPr="0052255D">
        <w:t xml:space="preserve">ailure to </w:t>
      </w:r>
      <w:r w:rsidRPr="0052255D" w:rsidR="00917776">
        <w:t>i</w:t>
      </w:r>
      <w:r w:rsidRPr="0052255D">
        <w:t xml:space="preserve">nstruct </w:t>
      </w:r>
      <w:r w:rsidRPr="0052255D" w:rsidR="00C03F77">
        <w:t>concerning</w:t>
      </w:r>
      <w:r w:rsidRPr="0052255D">
        <w:t xml:space="preserve"> </w:t>
      </w:r>
      <w:r w:rsidRPr="0052255D" w:rsidR="00917776">
        <w:t>c</w:t>
      </w:r>
      <w:r w:rsidRPr="0052255D">
        <w:t>onfessions</w:t>
      </w:r>
      <w:r w:rsidRPr="0052255D" w:rsidR="0020095D">
        <w:t xml:space="preserve"> </w:t>
      </w:r>
      <w:bookmarkEnd w:id="22"/>
    </w:p>
    <w:p w:rsidR="00252DD8" w:rsidRPr="0052255D" w:rsidP="0052255D">
      <w:pPr>
        <w:tabs>
          <w:tab w:val="left" w:pos="1440"/>
        </w:tabs>
        <w:ind w:firstLine="720"/>
      </w:pPr>
      <w:r w:rsidRPr="0052255D">
        <w:t xml:space="preserve">Defendant contends the trial court erred by not instructing </w:t>
      </w:r>
      <w:r w:rsidRPr="0052255D" w:rsidR="0081738F">
        <w:t xml:space="preserve">the jury </w:t>
      </w:r>
      <w:r w:rsidRPr="0052255D">
        <w:t>with CALJIC No. 2.7</w:t>
      </w:r>
      <w:r w:rsidRPr="0052255D" w:rsidR="00650A4A">
        <w:t>0</w:t>
      </w:r>
      <w:r w:rsidRPr="0052255D">
        <w:t xml:space="preserve">, </w:t>
      </w:r>
      <w:r w:rsidRPr="0052255D" w:rsidR="00FB5F1C">
        <w:t>the cautionary instruction defining confessions</w:t>
      </w:r>
      <w:r w:rsidRPr="0052255D" w:rsidR="003B448C">
        <w:t xml:space="preserve"> and admissions</w:t>
      </w:r>
      <w:r w:rsidRPr="0052255D" w:rsidR="00FB5F1C">
        <w:t>.</w:t>
      </w:r>
      <w:r w:rsidRPr="0052255D" w:rsidR="00D47381">
        <w:t xml:space="preserve">  He claims the </w:t>
      </w:r>
      <w:r w:rsidRPr="0052255D" w:rsidR="00786E37">
        <w:t xml:space="preserve">court’s </w:t>
      </w:r>
      <w:r w:rsidRPr="0052255D" w:rsidR="00D47381">
        <w:t>failure to inst</w:t>
      </w:r>
      <w:r w:rsidRPr="0052255D" w:rsidR="00046726">
        <w:t>ruct the jury to vi</w:t>
      </w:r>
      <w:r w:rsidRPr="0052255D" w:rsidR="001D1F29">
        <w:t>ew with caution</w:t>
      </w:r>
      <w:r w:rsidRPr="0052255D" w:rsidR="00046726">
        <w:t xml:space="preserve"> defendant’s purported statement to Perdon </w:t>
      </w:r>
      <w:r w:rsidRPr="0052255D" w:rsidR="00574F6B">
        <w:t>in which he bragged about shooting Johnson</w:t>
      </w:r>
      <w:r w:rsidRPr="0052255D" w:rsidR="004C5EFA">
        <w:t xml:space="preserve"> was prejudicial</w:t>
      </w:r>
      <w:r w:rsidRPr="0052255D" w:rsidR="00786E37">
        <w:t xml:space="preserve"> because </w:t>
      </w:r>
      <w:r w:rsidRPr="0052255D" w:rsidR="004C5E2C">
        <w:t>there was evidence the statement</w:t>
      </w:r>
      <w:r w:rsidRPr="0052255D" w:rsidR="00822F79">
        <w:t xml:space="preserve"> was </w:t>
      </w:r>
      <w:r w:rsidRPr="0052255D" w:rsidR="004C5E2C">
        <w:t>fabricated</w:t>
      </w:r>
      <w:r w:rsidRPr="0052255D" w:rsidR="004C5EFA">
        <w:t>.</w:t>
      </w:r>
      <w:r w:rsidRPr="0052255D" w:rsidR="00EE5B50">
        <w:t xml:space="preserve">  </w:t>
      </w:r>
      <w:r w:rsidRPr="0052255D" w:rsidR="006A0721">
        <w:t>W</w:t>
      </w:r>
      <w:r w:rsidRPr="0052255D" w:rsidR="00087313">
        <w:t>e find that any error was harmless</w:t>
      </w:r>
      <w:r w:rsidRPr="0052255D" w:rsidR="00C47909">
        <w:t>.</w:t>
      </w:r>
    </w:p>
    <w:p w:rsidR="005230F0" w:rsidRPr="0052255D" w:rsidP="0052255D">
      <w:pPr>
        <w:tabs>
          <w:tab w:val="left" w:pos="1440"/>
        </w:tabs>
        <w:ind w:firstLine="720"/>
      </w:pPr>
      <w:r w:rsidRPr="0052255D">
        <w:t>At the time defendant was tried, the</w:t>
      </w:r>
      <w:r w:rsidRPr="0052255D" w:rsidR="00252DD8">
        <w:t xml:space="preserve"> trial court </w:t>
      </w:r>
      <w:r w:rsidRPr="0052255D">
        <w:t>had a duty to</w:t>
      </w:r>
      <w:r w:rsidRPr="0052255D" w:rsidR="00252DD8">
        <w:t xml:space="preserve"> instruct the jury with CALJIC No. 2.70 </w:t>
      </w:r>
      <w:r w:rsidRPr="0052255D" w:rsidR="00E26759">
        <w:t xml:space="preserve">on its own motion </w:t>
      </w:r>
      <w:r w:rsidRPr="0052255D" w:rsidR="00252DD8">
        <w:t xml:space="preserve">if evidence of a defendant’s oral confession or admission </w:t>
      </w:r>
      <w:r w:rsidRPr="0052255D" w:rsidR="00C47909">
        <w:t>wa</w:t>
      </w:r>
      <w:r w:rsidRPr="0052255D" w:rsidR="00252DD8">
        <w:t>s presented.</w:t>
      </w:r>
      <w:r>
        <w:rPr>
          <w:rStyle w:val="FootnoteReference"/>
        </w:rPr>
        <w:footnoteReference w:id="8"/>
      </w:r>
      <w:r w:rsidRPr="0052255D" w:rsidR="00252DD8">
        <w:t xml:space="preserve">  (</w:t>
      </w:r>
      <w:r w:rsidRPr="0052255D" w:rsidR="00252DD8">
        <w:rPr>
          <w:i/>
          <w:iCs/>
        </w:rPr>
        <w:t>People v. Stankewitz</w:t>
      </w:r>
      <w:r w:rsidRPr="0052255D" w:rsidR="00252DD8">
        <w:t xml:space="preserve"> (1990) 51 Cal.3d 72, 94</w:t>
      </w:r>
      <w:r w:rsidRPr="0052255D">
        <w:t xml:space="preserve">; see </w:t>
      </w:r>
      <w:r w:rsidRPr="0052255D">
        <w:rPr>
          <w:i/>
          <w:iCs/>
        </w:rPr>
        <w:t>People v. Diaz</w:t>
      </w:r>
      <w:r w:rsidRPr="0052255D">
        <w:t xml:space="preserve"> (2015) 60 Cal.4th 1176, </w:t>
      </w:r>
      <w:r w:rsidRPr="0052255D" w:rsidR="00867DC0">
        <w:t xml:space="preserve">1190 </w:t>
      </w:r>
      <w:r w:rsidRPr="0052255D" w:rsidR="00B37E49">
        <w:t>(</w:t>
      </w:r>
      <w:r w:rsidRPr="0052255D" w:rsidR="00B37E49">
        <w:rPr>
          <w:i/>
          <w:iCs/>
        </w:rPr>
        <w:t>Diaz</w:t>
      </w:r>
      <w:r w:rsidRPr="0052255D" w:rsidR="00B37E49">
        <w:t xml:space="preserve">) </w:t>
      </w:r>
      <w:r w:rsidRPr="0052255D" w:rsidR="00867DC0">
        <w:t>[</w:t>
      </w:r>
      <w:r w:rsidRPr="0052255D" w:rsidR="00F036DA">
        <w:t xml:space="preserve">as of </w:t>
      </w:r>
      <w:r w:rsidRPr="0052255D" w:rsidR="0015369E">
        <w:t>2015,</w:t>
      </w:r>
      <w:r w:rsidRPr="0052255D" w:rsidR="005F2C6C">
        <w:t xml:space="preserve"> </w:t>
      </w:r>
      <w:r w:rsidRPr="0052255D" w:rsidR="00470E74">
        <w:t>CALJIC No.</w:t>
      </w:r>
      <w:r w:rsidRPr="0052255D" w:rsidR="00B72B41">
        <w:t> </w:t>
      </w:r>
      <w:r w:rsidRPr="0052255D" w:rsidR="00470E74">
        <w:t>2.70 no longer required to be given sua sponte]</w:t>
      </w:r>
      <w:r w:rsidRPr="0052255D" w:rsidR="00252DD8">
        <w:t xml:space="preserve">.)  </w:t>
      </w:r>
      <w:r w:rsidRPr="0052255D" w:rsidR="004D2631">
        <w:t xml:space="preserve">The trial court did not do </w:t>
      </w:r>
      <w:r w:rsidRPr="0052255D" w:rsidR="0028183E">
        <w:t>so</w:t>
      </w:r>
      <w:r w:rsidRPr="0052255D" w:rsidR="004D2631">
        <w:t xml:space="preserve">.  </w:t>
      </w:r>
      <w:r w:rsidRPr="0052255D" w:rsidR="00EE5B50">
        <w:t>However, t</w:t>
      </w:r>
      <w:r w:rsidRPr="0052255D" w:rsidR="004C5E2C">
        <w:t xml:space="preserve">he trial court </w:t>
      </w:r>
      <w:r w:rsidRPr="0052255D" w:rsidR="009E4B9F">
        <w:t xml:space="preserve">did instruct </w:t>
      </w:r>
      <w:r w:rsidRPr="0052255D" w:rsidR="004C5E2C">
        <w:t>the jury with CALJIC No. 2.7</w:t>
      </w:r>
      <w:r w:rsidRPr="0052255D" w:rsidR="004A6104">
        <w:t>1</w:t>
      </w:r>
      <w:r w:rsidRPr="0052255D" w:rsidR="004C5E2C">
        <w:t xml:space="preserve">, </w:t>
      </w:r>
      <w:r w:rsidRPr="0052255D" w:rsidR="009E4B9F">
        <w:t xml:space="preserve">the cautionary instruction defining admissions, which directed the jury to view with caution any statement </w:t>
      </w:r>
      <w:r w:rsidRPr="0052255D" w:rsidR="00EC4AE3">
        <w:t>of a</w:t>
      </w:r>
      <w:r w:rsidRPr="0052255D" w:rsidR="009E4B9F">
        <w:t xml:space="preserve"> defendant </w:t>
      </w:r>
      <w:r w:rsidRPr="0052255D" w:rsidR="00EC4AE3">
        <w:t>not made in court which tends to prove his guilt</w:t>
      </w:r>
      <w:r w:rsidRPr="0052255D" w:rsidR="001B131F">
        <w:t>.</w:t>
      </w:r>
      <w:r>
        <w:rPr>
          <w:rStyle w:val="FootnoteReference"/>
        </w:rPr>
        <w:footnoteReference w:id="9"/>
      </w:r>
      <w:r w:rsidRPr="0052255D" w:rsidR="001B131F">
        <w:t xml:space="preserve">  </w:t>
      </w:r>
    </w:p>
    <w:p w:rsidR="000B6247" w:rsidRPr="0052255D" w:rsidP="0052255D">
      <w:pPr>
        <w:tabs>
          <w:tab w:val="left" w:pos="1440"/>
        </w:tabs>
        <w:ind w:firstLine="720"/>
      </w:pPr>
      <w:r w:rsidRPr="0052255D">
        <w:t xml:space="preserve">“We have long </w:t>
      </w:r>
      <w:r w:rsidR="00526F00">
        <w:t>recognized</w:t>
      </w:r>
      <w:r w:rsidRPr="0052255D" w:rsidR="00526F00">
        <w:t xml:space="preserve"> </w:t>
      </w:r>
      <w:r w:rsidRPr="0052255D">
        <w:t xml:space="preserve">that </w:t>
      </w:r>
      <w:r w:rsidRPr="0052255D" w:rsidR="005230F0">
        <w:t xml:space="preserve">th[e] </w:t>
      </w:r>
      <w:r w:rsidRPr="0052255D">
        <w:t xml:space="preserve">cautionary instruction </w:t>
      </w:r>
      <w:r w:rsidRPr="0052255D" w:rsidR="005230F0">
        <w:t>[defining admissions</w:t>
      </w:r>
      <w:r w:rsidRPr="0052255D" w:rsidR="00B1617C">
        <w:t xml:space="preserve">] </w:t>
      </w:r>
      <w:r w:rsidRPr="0052255D">
        <w:t>is sufficiently broad to cover all of a defendant’s out-of-court statements.”  (</w:t>
      </w:r>
      <w:r w:rsidRPr="0052255D">
        <w:rPr>
          <w:i/>
          <w:iCs/>
        </w:rPr>
        <w:t xml:space="preserve">People v. Clark </w:t>
      </w:r>
      <w:r w:rsidRPr="0052255D">
        <w:t>(2011) 52</w:t>
      </w:r>
      <w:r w:rsidR="00C44E18">
        <w:t> </w:t>
      </w:r>
      <w:r w:rsidRPr="0052255D">
        <w:t xml:space="preserve">Cal.4th 856, </w:t>
      </w:r>
      <w:r w:rsidRPr="0052255D" w:rsidR="00252DD8">
        <w:t xml:space="preserve">957.) </w:t>
      </w:r>
      <w:r w:rsidRPr="0052255D" w:rsidR="00AA4072">
        <w:t xml:space="preserve"> </w:t>
      </w:r>
      <w:r w:rsidRPr="0052255D" w:rsidR="004A742C">
        <w:t xml:space="preserve">Indeed, as the Attorney General points out, </w:t>
      </w:r>
      <w:r w:rsidR="00360FA6">
        <w:t>t</w:t>
      </w:r>
      <w:r w:rsidRPr="0052255D" w:rsidR="004A742C">
        <w:t xml:space="preserve">he only difference between the instructions was </w:t>
      </w:r>
      <w:r w:rsidR="00360FA6">
        <w:t>that</w:t>
      </w:r>
      <w:r w:rsidRPr="0052255D" w:rsidR="004A742C">
        <w:t xml:space="preserve"> a confession would have been defined as a statement acknowledging guilt, whereas an admission is a statement tending to establish guilt when considered with other evidence</w:t>
      </w:r>
      <w:r w:rsidR="00732E9D">
        <w:t>.  As such, a</w:t>
      </w:r>
      <w:r w:rsidRPr="0052255D" w:rsidR="004A742C">
        <w:t xml:space="preserve"> jury would reasonably interpret </w:t>
      </w:r>
      <w:r w:rsidR="00732E9D">
        <w:t>“</w:t>
      </w:r>
      <w:r w:rsidRPr="0052255D" w:rsidR="004A742C">
        <w:t>confessions</w:t>
      </w:r>
      <w:r w:rsidR="00732E9D">
        <w:t>”</w:t>
      </w:r>
      <w:r w:rsidRPr="0052255D" w:rsidR="004A742C">
        <w:t xml:space="preserve"> to also be admissions and apply the cautionary instruction provided.  </w:t>
      </w:r>
      <w:r w:rsidRPr="0052255D" w:rsidR="001E7A5D">
        <w:t xml:space="preserve">Moreover, it bears </w:t>
      </w:r>
      <w:r w:rsidRPr="0052255D" w:rsidR="00DA7C9A">
        <w:t>repeating that the purpose of CALJIC No.</w:t>
      </w:r>
      <w:r w:rsidR="00C44E18">
        <w:t> </w:t>
      </w:r>
      <w:r w:rsidRPr="0052255D" w:rsidR="00DA7C9A">
        <w:t>2.70, like CALJIC No. 2.71, is “to aid the jury in evaluating whether the defendant actually made the statement.”  (</w:t>
      </w:r>
      <w:r w:rsidRPr="0052255D" w:rsidR="00DA7C9A">
        <w:rPr>
          <w:i/>
          <w:iCs/>
        </w:rPr>
        <w:t>Diaz</w:t>
      </w:r>
      <w:r w:rsidRPr="0052255D" w:rsidR="00DA7C9A">
        <w:t xml:space="preserve">, </w:t>
      </w:r>
      <w:r w:rsidRPr="0052255D" w:rsidR="00DA7C9A">
        <w:rPr>
          <w:i/>
          <w:iCs/>
        </w:rPr>
        <w:t>supra</w:t>
      </w:r>
      <w:r w:rsidRPr="0052255D" w:rsidR="00DA7C9A">
        <w:t>,</w:t>
      </w:r>
      <w:r w:rsidRPr="0052255D" w:rsidR="00DA7C9A">
        <w:rPr>
          <w:i/>
          <w:iCs/>
        </w:rPr>
        <w:t xml:space="preserve"> </w:t>
      </w:r>
      <w:r w:rsidRPr="0052255D" w:rsidR="00DA7C9A">
        <w:t>60 Cal.4th at p. 1184.)  That purpose is served when the instruction advises the jurors, as it did here, that “[t]he jurors are the exclusive judges as to whether the defendant made an admission, and if so, whether that statement is true in whole or in part,</w:t>
      </w:r>
      <w:r w:rsidR="00115EAD">
        <w:t>”</w:t>
      </w:r>
      <w:r w:rsidRPr="0052255D" w:rsidR="00DA7C9A">
        <w:t xml:space="preserve"> and that “[e]vidence of an oral admission of the defendant not made in court should be viewed with caution.”  </w:t>
      </w:r>
      <w:r w:rsidRPr="0052255D" w:rsidR="004A6435">
        <w:t>Furthermore, t</w:t>
      </w:r>
      <w:r w:rsidRPr="0052255D" w:rsidR="00AA4072">
        <w:t xml:space="preserve">he court </w:t>
      </w:r>
      <w:r w:rsidRPr="0052255D" w:rsidR="00F51F4A">
        <w:t xml:space="preserve">also </w:t>
      </w:r>
      <w:r w:rsidRPr="0052255D" w:rsidR="00D07A5C">
        <w:t>instructed th</w:t>
      </w:r>
      <w:r w:rsidRPr="0052255D" w:rsidR="00F51F4A">
        <w:t>e</w:t>
      </w:r>
      <w:r w:rsidRPr="0052255D" w:rsidR="00D07A5C">
        <w:t xml:space="preserve"> jury with</w:t>
      </w:r>
      <w:r w:rsidRPr="0052255D" w:rsidR="000630CD">
        <w:t xml:space="preserve"> CALJIC No</w:t>
      </w:r>
      <w:r w:rsidRPr="0052255D" w:rsidR="00F51F4A">
        <w:t>s</w:t>
      </w:r>
      <w:r w:rsidRPr="0052255D" w:rsidR="000630CD">
        <w:t>. 2.20</w:t>
      </w:r>
      <w:r w:rsidRPr="0052255D" w:rsidR="00F51F4A">
        <w:t xml:space="preserve"> (</w:t>
      </w:r>
      <w:r w:rsidRPr="0052255D" w:rsidR="00E71649">
        <w:t>believa</w:t>
      </w:r>
      <w:r w:rsidRPr="0052255D" w:rsidR="00011C9C">
        <w:t>bility</w:t>
      </w:r>
      <w:r w:rsidRPr="0052255D" w:rsidR="000630CD">
        <w:t xml:space="preserve"> of a witnes</w:t>
      </w:r>
      <w:r w:rsidRPr="0052255D" w:rsidR="00F51F4A">
        <w:t>s)</w:t>
      </w:r>
      <w:r w:rsidRPr="0052255D" w:rsidR="000630CD">
        <w:t xml:space="preserve">, </w:t>
      </w:r>
      <w:r w:rsidRPr="0052255D" w:rsidR="00F51F4A">
        <w:t>2.21.</w:t>
      </w:r>
      <w:r w:rsidRPr="0052255D" w:rsidR="000A269D">
        <w:t>1</w:t>
      </w:r>
      <w:r w:rsidRPr="0052255D" w:rsidR="00F51F4A">
        <w:t xml:space="preserve"> (discrepancies in testimony), </w:t>
      </w:r>
      <w:r w:rsidRPr="0052255D" w:rsidR="000630CD">
        <w:t>and 2.</w:t>
      </w:r>
      <w:r w:rsidRPr="0052255D" w:rsidR="005E7AC5">
        <w:t>22</w:t>
      </w:r>
      <w:r w:rsidRPr="0052255D" w:rsidR="000A269D">
        <w:t xml:space="preserve"> (weighing</w:t>
      </w:r>
      <w:r w:rsidRPr="0052255D" w:rsidR="005E7AC5">
        <w:t xml:space="preserve"> conflicting testimony</w:t>
      </w:r>
      <w:r w:rsidRPr="0052255D" w:rsidR="000A269D">
        <w:t>)</w:t>
      </w:r>
      <w:r w:rsidRPr="0052255D" w:rsidR="005E7AC5">
        <w:t xml:space="preserve">.  </w:t>
      </w:r>
      <w:r w:rsidRPr="0052255D" w:rsidR="000C228F">
        <w:t xml:space="preserve">These additional instructions also functioned to inform the jury how to evaluate </w:t>
      </w:r>
      <w:r w:rsidRPr="0052255D" w:rsidR="006F57B6">
        <w:t xml:space="preserve">the credibility of </w:t>
      </w:r>
      <w:r w:rsidRPr="0052255D" w:rsidR="00DE7824">
        <w:t xml:space="preserve">Masubayashi’s </w:t>
      </w:r>
      <w:r w:rsidRPr="0052255D" w:rsidR="00DD262C">
        <w:t xml:space="preserve">testimony regarding </w:t>
      </w:r>
      <w:r w:rsidRPr="0052255D" w:rsidR="007F15C6">
        <w:t>defendant’s statement.</w:t>
      </w:r>
      <w:r w:rsidRPr="0052255D" w:rsidR="00B25060">
        <w:t xml:space="preserve">  </w:t>
      </w:r>
      <w:r w:rsidRPr="0052255D" w:rsidR="00F063E1">
        <w:t>Accordingly,</w:t>
      </w:r>
      <w:r w:rsidRPr="0052255D" w:rsidR="00252DD8">
        <w:t xml:space="preserve"> defendant fails to show prejudice</w:t>
      </w:r>
      <w:r w:rsidRPr="0052255D" w:rsidR="00A32B0D">
        <w:t xml:space="preserve"> resulting from the trial court’s failure to </w:t>
      </w:r>
      <w:r w:rsidRPr="0052255D" w:rsidR="003917A9">
        <w:t>give</w:t>
      </w:r>
      <w:r w:rsidRPr="0052255D" w:rsidR="00A32B0D">
        <w:t xml:space="preserve"> CALJIC No. 2.70</w:t>
      </w:r>
      <w:r w:rsidRPr="0052255D" w:rsidR="00252DD8">
        <w:t>.</w:t>
      </w:r>
    </w:p>
    <w:p w:rsidR="000B6247" w:rsidRPr="0052255D" w:rsidP="0052255D">
      <w:pPr>
        <w:pStyle w:val="Heading3"/>
      </w:pPr>
      <w:bookmarkStart w:id="23" w:name="_Toc94515343"/>
      <w:r w:rsidRPr="0052255D">
        <w:t>8</w:t>
      </w:r>
      <w:r w:rsidRPr="0052255D" w:rsidR="00F06AD0">
        <w:t>.</w:t>
      </w:r>
      <w:r w:rsidRPr="0052255D">
        <w:t xml:space="preserve">  </w:t>
      </w:r>
      <w:r w:rsidRPr="0052255D" w:rsidR="003102B4">
        <w:t xml:space="preserve">Use of </w:t>
      </w:r>
      <w:r w:rsidRPr="0052255D" w:rsidR="009D0725">
        <w:t>1996 version of</w:t>
      </w:r>
      <w:r w:rsidRPr="0052255D">
        <w:t xml:space="preserve"> CALJIC No. 8.71 </w:t>
      </w:r>
      <w:bookmarkEnd w:id="23"/>
    </w:p>
    <w:p w:rsidR="000B6247" w:rsidRPr="0052255D" w:rsidP="0052255D">
      <w:pPr>
        <w:tabs>
          <w:tab w:val="left" w:pos="1440"/>
        </w:tabs>
        <w:ind w:firstLine="720"/>
      </w:pPr>
      <w:r w:rsidRPr="0052255D">
        <w:t xml:space="preserve">Defendant </w:t>
      </w:r>
      <w:r w:rsidRPr="0052255D" w:rsidR="00C657BE">
        <w:t xml:space="preserve">asserts </w:t>
      </w:r>
      <w:r w:rsidRPr="0052255D" w:rsidR="00C422D7">
        <w:t xml:space="preserve">the </w:t>
      </w:r>
      <w:r w:rsidRPr="0052255D" w:rsidR="00296844">
        <w:t xml:space="preserve">trial court’s use of the </w:t>
      </w:r>
      <w:r w:rsidRPr="0052255D" w:rsidR="00A11E89">
        <w:t>1996 version of CALJIC No. 8.71</w:t>
      </w:r>
      <w:r w:rsidRPr="0052255D" w:rsidR="00296844">
        <w:t xml:space="preserve">, the </w:t>
      </w:r>
      <w:r w:rsidRPr="0052255D" w:rsidR="00C46766">
        <w:t>instruction</w:t>
      </w:r>
      <w:r w:rsidRPr="0052255D" w:rsidR="00A041D2">
        <w:t xml:space="preserve"> </w:t>
      </w:r>
      <w:r w:rsidRPr="0052255D" w:rsidR="00BC0D23">
        <w:t xml:space="preserve">regarding </w:t>
      </w:r>
      <w:r w:rsidRPr="0052255D" w:rsidR="006C708E">
        <w:t>reasonable doubt concerning the</w:t>
      </w:r>
      <w:r w:rsidRPr="0052255D" w:rsidR="00BC0D23">
        <w:t xml:space="preserve"> degree </w:t>
      </w:r>
      <w:r w:rsidRPr="0052255D" w:rsidR="006C708E">
        <w:t xml:space="preserve">of </w:t>
      </w:r>
      <w:r w:rsidRPr="0052255D" w:rsidR="00BC0D23">
        <w:t>murder</w:t>
      </w:r>
      <w:r w:rsidRPr="0052255D" w:rsidR="00296844">
        <w:t>,</w:t>
      </w:r>
      <w:r w:rsidRPr="0052255D" w:rsidR="00A11E89">
        <w:t xml:space="preserve"> </w:t>
      </w:r>
      <w:r w:rsidRPr="0052255D" w:rsidR="00C422D7">
        <w:t xml:space="preserve">impermissibly </w:t>
      </w:r>
      <w:r w:rsidRPr="0052255D" w:rsidR="00F61818">
        <w:t>skewed the jury’s deliberations</w:t>
      </w:r>
      <w:r w:rsidRPr="0052255D" w:rsidR="00322497">
        <w:t xml:space="preserve"> toward first degree murder and </w:t>
      </w:r>
      <w:r w:rsidRPr="0052255D" w:rsidR="00777C96">
        <w:t xml:space="preserve">lowered the prosecution’s burden of proof.  </w:t>
      </w:r>
      <w:r w:rsidRPr="0052255D" w:rsidR="006A0721">
        <w:t>W</w:t>
      </w:r>
      <w:r w:rsidRPr="0052255D" w:rsidR="00777C96">
        <w:t xml:space="preserve">e </w:t>
      </w:r>
      <w:r w:rsidRPr="0052255D" w:rsidR="002E7C98">
        <w:t>conclude there was no error.</w:t>
      </w:r>
    </w:p>
    <w:p w:rsidR="00333031" w:rsidRPr="0052255D" w:rsidP="0052255D">
      <w:pPr>
        <w:tabs>
          <w:tab w:val="left" w:pos="1440"/>
        </w:tabs>
        <w:ind w:firstLine="720"/>
      </w:pPr>
      <w:r w:rsidRPr="0052255D">
        <w:t xml:space="preserve">The jury was instructed </w:t>
      </w:r>
      <w:r w:rsidRPr="0052255D" w:rsidR="00DB589F">
        <w:t xml:space="preserve">concerning </w:t>
      </w:r>
      <w:r w:rsidRPr="0052255D">
        <w:t xml:space="preserve">first degree murder (on theories of premeditation and lying in wait) and second degree murder (with malice aforethought but without premeditation).  </w:t>
      </w:r>
      <w:r w:rsidRPr="0052255D" w:rsidR="00CD56FD">
        <w:t xml:space="preserve">The jurors also </w:t>
      </w:r>
      <w:r w:rsidRPr="0052255D" w:rsidR="00400A30">
        <w:t xml:space="preserve">were instructed that if they found defendant guilty of murder, they must determine the degree.  </w:t>
      </w:r>
      <w:r w:rsidRPr="0052255D" w:rsidR="009F4815">
        <w:t>U</w:t>
      </w:r>
      <w:r w:rsidRPr="0052255D" w:rsidR="00F41F8F">
        <w:t xml:space="preserve">sing the </w:t>
      </w:r>
      <w:r w:rsidRPr="0052255D" w:rsidR="004F07C5">
        <w:t>then-</w:t>
      </w:r>
      <w:r w:rsidRPr="0052255D" w:rsidR="00F41F8F">
        <w:t>current</w:t>
      </w:r>
      <w:r w:rsidRPr="0052255D" w:rsidR="00B60C00">
        <w:t xml:space="preserve"> </w:t>
      </w:r>
      <w:r w:rsidRPr="0052255D" w:rsidR="002E7C98">
        <w:t>version of CALJIC No. 8.71</w:t>
      </w:r>
      <w:r w:rsidRPr="0052255D" w:rsidR="00F41F8F">
        <w:t xml:space="preserve"> (6th ed. 1996)</w:t>
      </w:r>
      <w:r w:rsidRPr="0052255D" w:rsidR="002E7C98">
        <w:t xml:space="preserve">, </w:t>
      </w:r>
      <w:r w:rsidRPr="0052255D" w:rsidR="009F4815">
        <w:t>the trial court further</w:t>
      </w:r>
      <w:r w:rsidRPr="0052255D" w:rsidR="002E7C98">
        <w:t xml:space="preserve"> i</w:t>
      </w:r>
      <w:r w:rsidRPr="0052255D" w:rsidR="008873B5">
        <w:t>nstruct</w:t>
      </w:r>
      <w:r w:rsidRPr="0052255D" w:rsidR="002E7C98">
        <w:t xml:space="preserve">ed the jury:  </w:t>
      </w:r>
      <w:r w:rsidRPr="0052255D" w:rsidR="00F817B8">
        <w:t xml:space="preserve">“If you are convinced beyond a reasonable doubt and unanimously agree that the crime of murder has been committed by a defendant, but you </w:t>
      </w:r>
      <w:r w:rsidRPr="0052255D" w:rsidR="00F817B8">
        <w:rPr>
          <w:i/>
        </w:rPr>
        <w:t>unanimously</w:t>
      </w:r>
      <w:r w:rsidRPr="0052255D" w:rsidR="00F817B8">
        <w:rPr>
          <w:iCs/>
        </w:rPr>
        <w:t xml:space="preserve"> </w:t>
      </w:r>
      <w:r w:rsidRPr="0052255D" w:rsidR="00F817B8">
        <w:t xml:space="preserve">agree that you have a reasonable doubt whether the murder was of the first or of the second degree, you must give </w:t>
      </w:r>
      <w:r w:rsidRPr="0052255D" w:rsidR="00650514">
        <w:t xml:space="preserve">the </w:t>
      </w:r>
      <w:r w:rsidRPr="0052255D" w:rsidR="00F817B8">
        <w:t xml:space="preserve">defendant the benefit of that doubt and return a verdict fixing the murder as of the second degree as well as a verdict of not guilty of murder in the first degree.”  </w:t>
      </w:r>
      <w:r w:rsidRPr="0052255D" w:rsidR="00F953E8">
        <w:t xml:space="preserve">(Italics added.)  </w:t>
      </w:r>
      <w:r w:rsidRPr="0052255D" w:rsidR="00816A70">
        <w:t xml:space="preserve">  </w:t>
      </w:r>
    </w:p>
    <w:p w:rsidR="002643D3" w:rsidRPr="0052255D" w:rsidP="0052255D">
      <w:pPr>
        <w:tabs>
          <w:tab w:val="left" w:pos="1440"/>
        </w:tabs>
        <w:ind w:firstLine="720"/>
      </w:pPr>
      <w:r w:rsidRPr="0052255D">
        <w:t xml:space="preserve">The jury was </w:t>
      </w:r>
      <w:r w:rsidR="005B4284">
        <w:t>additionally</w:t>
      </w:r>
      <w:r w:rsidR="001E013F">
        <w:t xml:space="preserve"> </w:t>
      </w:r>
      <w:r w:rsidRPr="0052255D">
        <w:t>instructed with CALJIC No.</w:t>
      </w:r>
      <w:r w:rsidR="00E52A11">
        <w:t> </w:t>
      </w:r>
      <w:r w:rsidRPr="0052255D">
        <w:t>17.10, which provided:  “If you are not satisfied beyond a reasonable doubt that a defendant is guilty of the crime of first degree murder as charged in count I, and you unanimously so find, you may convict him of any lesser crime provided you are satisfied beyond a reasonable doubt that he is guilty of the lesser crime.</w:t>
      </w:r>
      <w:r w:rsidRPr="0052255D" w:rsidR="00F70692">
        <w:t>”</w:t>
      </w:r>
      <w:r w:rsidRPr="0052255D">
        <w:t xml:space="preserve">  </w:t>
      </w:r>
      <w:r w:rsidRPr="0052255D">
        <w:t xml:space="preserve">The trial court </w:t>
      </w:r>
      <w:r w:rsidRPr="0052255D" w:rsidR="00CD4D22">
        <w:t xml:space="preserve">also </w:t>
      </w:r>
      <w:r w:rsidRPr="0052255D" w:rsidR="00120224">
        <w:t>instructed the jury with</w:t>
      </w:r>
      <w:r w:rsidRPr="0052255D">
        <w:t xml:space="preserve"> </w:t>
      </w:r>
      <w:r w:rsidRPr="0052255D" w:rsidR="00511496">
        <w:t>CALJIC No.</w:t>
      </w:r>
      <w:r w:rsidR="00E52A11">
        <w:t> </w:t>
      </w:r>
      <w:r w:rsidRPr="0052255D" w:rsidR="00511496">
        <w:t>17.40</w:t>
      </w:r>
      <w:r w:rsidRPr="0052255D" w:rsidR="000F2C2A">
        <w:t>:  “The People and the defendant are entitled to the individual opinion of each juror.  Each of you must consider the evidence for the purpose of reaching a verdict if you can do so.  Each of you must decide the case for yourself, but should do so only after discussing the evidence and instructions with the other jurors.  Do not hesitate to change an opinion if you are convinced it is wrong, however, do not decide any question in a particular way because a majority of the jurors, or any of them, favor that decision.  Do not decide any issue in this case by the flip of a coin, or by any other chance determination.”</w:t>
      </w:r>
      <w:r w:rsidRPr="0052255D" w:rsidR="00836FEC">
        <w:t xml:space="preserve">  </w:t>
      </w:r>
      <w:r w:rsidRPr="0052255D" w:rsidR="00222255">
        <w:t xml:space="preserve">The jury was </w:t>
      </w:r>
      <w:r w:rsidR="00E3182F">
        <w:t xml:space="preserve">further </w:t>
      </w:r>
      <w:r w:rsidRPr="0052255D" w:rsidR="00222255">
        <w:t xml:space="preserve">given CALJIC No. </w:t>
      </w:r>
      <w:r w:rsidRPr="0052255D" w:rsidR="00B6451E">
        <w:t>8.74</w:t>
      </w:r>
      <w:r w:rsidRPr="0052255D" w:rsidR="00687CC0">
        <w:t xml:space="preserve">:  “Before you may return a verdict in this case, </w:t>
      </w:r>
      <w:r w:rsidRPr="0052255D" w:rsidR="00807611">
        <w:t>you must agree unanimously not only as to whether the defendant is guilty or not guilty; but also if you should find him guilty of an unlawful killing, you must agree unanimously as to whether he is guilty of murder of the first degree or murder of the second degree.</w:t>
      </w:r>
      <w:r w:rsidRPr="0052255D" w:rsidR="006E2F2A">
        <w:t>”</w:t>
      </w:r>
      <w:r w:rsidRPr="0052255D" w:rsidR="00807611">
        <w:t xml:space="preserve">  </w:t>
      </w:r>
      <w:r w:rsidRPr="0052255D" w:rsidR="00A17ABF">
        <w:t>Additionally, the court directed the jury to read the instructions as a whole and in light of all the others</w:t>
      </w:r>
      <w:r w:rsidRPr="0052255D" w:rsidR="00F913C4">
        <w:t>,</w:t>
      </w:r>
      <w:r w:rsidRPr="0052255D" w:rsidR="00A17ABF">
        <w:t xml:space="preserve"> and the jury was generally instructed on reasonable doubt.  </w:t>
      </w:r>
    </w:p>
    <w:p w:rsidR="00200A5E" w:rsidRPr="0052255D" w:rsidP="0052255D">
      <w:pPr>
        <w:tabs>
          <w:tab w:val="left" w:pos="1440"/>
        </w:tabs>
        <w:ind w:firstLine="720"/>
      </w:pPr>
      <w:r w:rsidRPr="0052255D">
        <w:t>We review a claim of instructional error de novo.  (</w:t>
      </w:r>
      <w:r w:rsidRPr="0052255D">
        <w:rPr>
          <w:i/>
          <w:iCs/>
        </w:rPr>
        <w:t>People v. Cole</w:t>
      </w:r>
      <w:r w:rsidRPr="0052255D">
        <w:t xml:space="preserve"> (2004) 33 Cal.4th 1158, 1210.)</w:t>
      </w:r>
      <w:r w:rsidRPr="0052255D" w:rsidR="00D646D3">
        <w:t xml:space="preserve">  “When considering a claim of instructional error, we view the challenged instruction in the context of the instructions as a whole and the trial record to determine whether there is a reasonable likelihood the jury applied the instruction in an impermissible manner.”  (</w:t>
      </w:r>
      <w:r w:rsidRPr="0052255D" w:rsidR="00D646D3">
        <w:rPr>
          <w:i/>
          <w:iCs/>
        </w:rPr>
        <w:t xml:space="preserve">People v. Houston </w:t>
      </w:r>
      <w:r w:rsidRPr="0052255D" w:rsidR="00D646D3">
        <w:t>(2012) 54 Cal.4th 1186, 1229.)</w:t>
      </w:r>
    </w:p>
    <w:p w:rsidR="00333031" w:rsidRPr="0052255D" w:rsidP="0052255D">
      <w:pPr>
        <w:tabs>
          <w:tab w:val="left" w:pos="1440"/>
        </w:tabs>
        <w:ind w:firstLine="720"/>
      </w:pPr>
      <w:r w:rsidRPr="0052255D">
        <w:t xml:space="preserve">In </w:t>
      </w:r>
      <w:r w:rsidRPr="0052255D">
        <w:rPr>
          <w:i/>
        </w:rPr>
        <w:t>People v. Moore</w:t>
      </w:r>
      <w:r w:rsidRPr="0052255D">
        <w:t xml:space="preserve"> (2011) 51 Cal.4th 386, 411, we </w:t>
      </w:r>
      <w:r w:rsidRPr="0052255D" w:rsidR="00AF2DA1">
        <w:t>advis</w:t>
      </w:r>
      <w:r w:rsidRPr="0052255D" w:rsidR="000B50A0">
        <w:t>ed</w:t>
      </w:r>
      <w:r w:rsidRPr="0052255D">
        <w:t xml:space="preserve"> that “the better practice is not to use the 1996 revised versions of CALJIC Nos. 8.71 and 8.72 [relating to manslaughter], as the instructions carry at least some potential for confusing jurors about the role of their individual judgments in deciding between first and second degree murder, and between murder and manslaughter.”  </w:t>
      </w:r>
      <w:r w:rsidRPr="0052255D" w:rsidR="00B14F77">
        <w:t xml:space="preserve">We declined to decide whether </w:t>
      </w:r>
      <w:r w:rsidRPr="0052255D" w:rsidR="00081B77">
        <w:t>the giving of CALJIC No. 17.40</w:t>
      </w:r>
      <w:r w:rsidRPr="0052255D" w:rsidR="00094778">
        <w:t xml:space="preserve">, addressing </w:t>
      </w:r>
      <w:r w:rsidRPr="0052255D" w:rsidR="00081B77">
        <w:t xml:space="preserve">the jurors’ duty </w:t>
      </w:r>
      <w:r w:rsidRPr="0052255D" w:rsidR="00245FDC">
        <w:t xml:space="preserve">to render an </w:t>
      </w:r>
      <w:r w:rsidRPr="0052255D" w:rsidR="00081B77">
        <w:t>individual decision</w:t>
      </w:r>
      <w:r w:rsidRPr="0052255D" w:rsidR="00245FDC">
        <w:t>,</w:t>
      </w:r>
      <w:r w:rsidRPr="0052255D" w:rsidR="00081B77">
        <w:t xml:space="preserve"> </w:t>
      </w:r>
      <w:r w:rsidRPr="0052255D" w:rsidR="00BC218D">
        <w:t xml:space="preserve">adequately dispelled the possibility of confusion, ruling instead that any error in giving </w:t>
      </w:r>
      <w:r w:rsidRPr="0052255D" w:rsidR="00147A35">
        <w:t xml:space="preserve">the 1996 revised versions of CALJIC Nos. 8.71 and 8.72 </w:t>
      </w:r>
      <w:r w:rsidRPr="0052255D" w:rsidR="00BC218D">
        <w:t>was harmless</w:t>
      </w:r>
      <w:r w:rsidRPr="0052255D" w:rsidR="00147A35">
        <w:t xml:space="preserve"> beyond a reasonable doubt</w:t>
      </w:r>
      <w:r w:rsidRPr="0052255D" w:rsidR="00A53787">
        <w:t>.</w:t>
      </w:r>
      <w:r w:rsidRPr="0052255D" w:rsidR="002E0E9E">
        <w:t xml:space="preserve">  (</w:t>
      </w:r>
      <w:r w:rsidRPr="0052255D" w:rsidR="00CE1486">
        <w:rPr>
          <w:i/>
          <w:iCs/>
        </w:rPr>
        <w:t>Moore</w:t>
      </w:r>
      <w:r w:rsidRPr="0052255D" w:rsidR="00CE1486">
        <w:t>,</w:t>
      </w:r>
      <w:r w:rsidRPr="0052255D" w:rsidR="002E0E9E">
        <w:t xml:space="preserve"> at p.</w:t>
      </w:r>
      <w:r w:rsidRPr="0052255D" w:rsidR="00E9019B">
        <w:t> </w:t>
      </w:r>
      <w:r w:rsidRPr="0052255D" w:rsidR="002E0E9E">
        <w:t>412.)</w:t>
      </w:r>
    </w:p>
    <w:p w:rsidR="009305AC" w:rsidRPr="0052255D" w:rsidP="0052255D">
      <w:pPr>
        <w:tabs>
          <w:tab w:val="left" w:pos="1440"/>
        </w:tabs>
        <w:ind w:firstLine="720"/>
      </w:pPr>
      <w:r w:rsidRPr="0052255D">
        <w:t>I</w:t>
      </w:r>
      <w:r w:rsidRPr="0052255D" w:rsidR="005E4DFD">
        <w:t xml:space="preserve">n </w:t>
      </w:r>
      <w:r w:rsidRPr="0052255D" w:rsidR="005E4DFD">
        <w:rPr>
          <w:i/>
        </w:rPr>
        <w:t xml:space="preserve">People v. Salazar </w:t>
      </w:r>
      <w:r w:rsidRPr="0052255D" w:rsidR="005E4DFD">
        <w:t>(2016) 63 Cal.4th 214, 246 (</w:t>
      </w:r>
      <w:r w:rsidRPr="0052255D" w:rsidR="005E4DFD">
        <w:rPr>
          <w:i/>
        </w:rPr>
        <w:t>Salazar</w:t>
      </w:r>
      <w:r w:rsidRPr="0052255D" w:rsidR="005E4DFD">
        <w:t xml:space="preserve">), </w:t>
      </w:r>
      <w:r w:rsidRPr="0052255D" w:rsidR="00EF7E3D">
        <w:t xml:space="preserve">we clarified that </w:t>
      </w:r>
      <w:r w:rsidRPr="0052255D" w:rsidR="005E4DFD">
        <w:rPr>
          <w:i/>
        </w:rPr>
        <w:t xml:space="preserve">Moore </w:t>
      </w:r>
      <w:r w:rsidRPr="0052255D" w:rsidR="00862095">
        <w:t xml:space="preserve">did not stand for the proposition that </w:t>
      </w:r>
      <w:r w:rsidRPr="0052255D" w:rsidR="005E4DFD">
        <w:t>the 1996 revised versions of CALJIC Nos. 8.71 and 8.72 were errone</w:t>
      </w:r>
      <w:r w:rsidRPr="0052255D" w:rsidR="00897377">
        <w:t xml:space="preserve">ous; </w:t>
      </w:r>
      <w:r w:rsidRPr="0052255D" w:rsidR="00AC4E11">
        <w:t>rather</w:t>
      </w:r>
      <w:r w:rsidRPr="0052255D" w:rsidR="0036524A">
        <w:t xml:space="preserve">, </w:t>
      </w:r>
      <w:r w:rsidRPr="0052255D" w:rsidR="00897377">
        <w:t>we simply observed</w:t>
      </w:r>
      <w:r w:rsidRPr="0052255D" w:rsidR="00AC4E11">
        <w:t xml:space="preserve"> in </w:t>
      </w:r>
      <w:r w:rsidRPr="0052255D" w:rsidR="00AC4E11">
        <w:rPr>
          <w:i/>
          <w:iCs/>
        </w:rPr>
        <w:t>Moore</w:t>
      </w:r>
      <w:r w:rsidRPr="0052255D" w:rsidR="00897377">
        <w:t xml:space="preserve"> </w:t>
      </w:r>
      <w:r w:rsidRPr="0052255D" w:rsidR="0022328C">
        <w:t xml:space="preserve">that </w:t>
      </w:r>
      <w:r w:rsidRPr="0052255D" w:rsidR="00897377">
        <w:t>“</w:t>
      </w:r>
      <w:r w:rsidRPr="0052255D" w:rsidR="0022328C">
        <w:t xml:space="preserve">the instructions created ‘at least some potential for confusing </w:t>
      </w:r>
      <w:r w:rsidRPr="0052255D" w:rsidR="00E95197">
        <w:t>jurors</w:t>
      </w:r>
      <w:r w:rsidRPr="0052255D" w:rsidR="0022328C">
        <w:t xml:space="preserve"> about the role of their individual </w:t>
      </w:r>
      <w:r w:rsidRPr="0052255D" w:rsidR="00E95197">
        <w:t>judgments</w:t>
      </w:r>
      <w:r w:rsidRPr="0052255D" w:rsidR="0022328C">
        <w:t xml:space="preserve"> in deciding </w:t>
      </w:r>
      <w:r w:rsidRPr="0052255D" w:rsidR="00A25EF3">
        <w:t>between’ the greater and lesser offenses.</w:t>
      </w:r>
      <w:r w:rsidRPr="0052255D" w:rsidR="009C760C">
        <w:t>”</w:t>
      </w:r>
      <w:r w:rsidRPr="0052255D" w:rsidR="00A25EF3">
        <w:t xml:space="preserve">  </w:t>
      </w:r>
      <w:r w:rsidRPr="0052255D" w:rsidR="00816D89">
        <w:t>(</w:t>
      </w:r>
      <w:r w:rsidRPr="0052255D" w:rsidR="00816D89">
        <w:rPr>
          <w:i/>
          <w:iCs/>
        </w:rPr>
        <w:t>Salazar</w:t>
      </w:r>
      <w:r w:rsidRPr="0052255D" w:rsidR="00816D89">
        <w:t>, at p. 24</w:t>
      </w:r>
      <w:r w:rsidR="00722BFE">
        <w:t>7</w:t>
      </w:r>
      <w:r w:rsidRPr="0052255D" w:rsidR="00816D89">
        <w:t xml:space="preserve">.) </w:t>
      </w:r>
      <w:r w:rsidRPr="0052255D" w:rsidR="00816D89">
        <w:rPr>
          <w:i/>
          <w:iCs/>
        </w:rPr>
        <w:t xml:space="preserve"> </w:t>
      </w:r>
      <w:r w:rsidRPr="0052255D" w:rsidR="0036524A">
        <w:rPr>
          <w:i/>
          <w:iCs/>
        </w:rPr>
        <w:t>Salazar</w:t>
      </w:r>
      <w:r w:rsidRPr="0052255D" w:rsidR="00F3624E">
        <w:t xml:space="preserve"> </w:t>
      </w:r>
      <w:r w:rsidRPr="0052255D" w:rsidR="00EC3FF5">
        <w:t>confirmed</w:t>
      </w:r>
      <w:r w:rsidRPr="0052255D" w:rsidR="00EC3FF5">
        <w:rPr>
          <w:i/>
          <w:iCs/>
        </w:rPr>
        <w:t xml:space="preserve"> </w:t>
      </w:r>
      <w:r w:rsidRPr="0052255D" w:rsidR="0036524A">
        <w:t>the “familiar proposition that</w:t>
      </w:r>
      <w:r w:rsidRPr="0052255D" w:rsidR="00BA3E6E">
        <w:t xml:space="preserve"> </w:t>
      </w:r>
      <w:r w:rsidRPr="0052255D" w:rsidR="0036524A">
        <w:t>‘ </w:t>
      </w:r>
      <w:r w:rsidRPr="0052255D" w:rsidR="00222061">
        <w:t>“</w:t>
      </w:r>
      <w:r w:rsidRPr="0052255D" w:rsidR="00FA1194">
        <w:t>[t]he correctness of jury instructions is to be determined from the entire charge of the court, not from a consideration of parts of an instruction or from a particular instruction</w:t>
      </w:r>
      <w:r w:rsidRPr="0052255D" w:rsidR="00B705C2">
        <w:t>.</w:t>
      </w:r>
      <w:r w:rsidRPr="0052255D" w:rsidR="00247C5B">
        <w:t xml:space="preserve">” ’ ” </w:t>
      </w:r>
      <w:r w:rsidRPr="0052255D" w:rsidR="00B705C2">
        <w:t xml:space="preserve"> (</w:t>
      </w:r>
      <w:r w:rsidRPr="0052255D" w:rsidR="00B705C2">
        <w:rPr>
          <w:i/>
          <w:iCs/>
        </w:rPr>
        <w:t>Salazar</w:t>
      </w:r>
      <w:r w:rsidRPr="0052255D" w:rsidR="00B705C2">
        <w:t xml:space="preserve">, at p. 248.)  We subsequently </w:t>
      </w:r>
      <w:r w:rsidRPr="0052255D" w:rsidR="00247C5B">
        <w:t>conclud</w:t>
      </w:r>
      <w:r w:rsidRPr="0052255D" w:rsidR="00B705C2">
        <w:t>ed</w:t>
      </w:r>
      <w:r w:rsidRPr="0052255D" w:rsidR="00222061">
        <w:t xml:space="preserve"> that </w:t>
      </w:r>
      <w:r w:rsidR="00722BFE">
        <w:t xml:space="preserve">the </w:t>
      </w:r>
      <w:r w:rsidRPr="0052255D" w:rsidR="00222061">
        <w:t xml:space="preserve">1996 revised versions of CALJIC Nos. 8.71 and 8.72 </w:t>
      </w:r>
      <w:r w:rsidRPr="0052255D" w:rsidR="00BA3E6E">
        <w:t xml:space="preserve">were not erroneous when considered with the rest of the </w:t>
      </w:r>
      <w:r w:rsidRPr="0052255D" w:rsidR="00815325">
        <w:t>c</w:t>
      </w:r>
      <w:r w:rsidRPr="0052255D" w:rsidR="00BA3E6E">
        <w:t>harge to the jury.  (</w:t>
      </w:r>
      <w:r w:rsidRPr="0052255D" w:rsidR="00F845C1">
        <w:rPr>
          <w:i/>
          <w:iCs/>
        </w:rPr>
        <w:t>Salazar</w:t>
      </w:r>
      <w:r w:rsidRPr="0052255D" w:rsidR="00F845C1">
        <w:t>, at p. 248</w:t>
      </w:r>
      <w:r w:rsidRPr="0052255D" w:rsidR="00B94B29">
        <w:t xml:space="preserve">; </w:t>
      </w:r>
      <w:r w:rsidRPr="0052255D" w:rsidR="00B94B29">
        <w:rPr>
          <w:i/>
          <w:iCs/>
        </w:rPr>
        <w:t xml:space="preserve">People v. Rivera </w:t>
      </w:r>
      <w:r w:rsidRPr="0052255D" w:rsidR="00B94B29">
        <w:t xml:space="preserve">(2019) </w:t>
      </w:r>
      <w:r w:rsidRPr="0052255D" w:rsidR="00526489">
        <w:t xml:space="preserve">7 Cal.5th 306, 326 </w:t>
      </w:r>
      <w:r w:rsidR="00722BFE">
        <w:t>(</w:t>
      </w:r>
      <w:r w:rsidR="00722BFE">
        <w:rPr>
          <w:i/>
          <w:iCs/>
        </w:rPr>
        <w:t>Rivera</w:t>
      </w:r>
      <w:r w:rsidR="00722BFE">
        <w:t>)</w:t>
      </w:r>
      <w:r w:rsidR="00722BFE">
        <w:rPr>
          <w:i/>
          <w:iCs/>
        </w:rPr>
        <w:t xml:space="preserve"> </w:t>
      </w:r>
      <w:r w:rsidRPr="0052255D" w:rsidR="00526489">
        <w:t>[same]</w:t>
      </w:r>
      <w:r w:rsidRPr="0052255D" w:rsidR="00F845C1">
        <w:t>.</w:t>
      </w:r>
      <w:r w:rsidRPr="0052255D" w:rsidR="00BA3E6E">
        <w:t xml:space="preserve">)  </w:t>
      </w:r>
    </w:p>
    <w:p w:rsidR="003F548E" w:rsidRPr="0052255D" w:rsidP="0052255D">
      <w:pPr>
        <w:tabs>
          <w:tab w:val="left" w:pos="1440"/>
        </w:tabs>
        <w:ind w:firstLine="720"/>
      </w:pPr>
      <w:r w:rsidRPr="0052255D">
        <w:t xml:space="preserve">In </w:t>
      </w:r>
      <w:r w:rsidRPr="0052255D">
        <w:rPr>
          <w:i/>
          <w:iCs/>
        </w:rPr>
        <w:t>Salazar</w:t>
      </w:r>
      <w:r w:rsidRPr="0052255D">
        <w:t xml:space="preserve">, </w:t>
      </w:r>
      <w:r w:rsidRPr="0052255D" w:rsidR="00F06889">
        <w:t xml:space="preserve">the jury was instructed with CALJIC Nos. </w:t>
      </w:r>
      <w:r w:rsidRPr="0052255D" w:rsidR="007E3991">
        <w:t>8.74 (unanimous agreement as to offense</w:t>
      </w:r>
      <w:r w:rsidR="00722BFE">
        <w:t> </w:t>
      </w:r>
      <w:r w:rsidRPr="0052255D" w:rsidR="007E3991">
        <w:t xml:space="preserve">— first or second degree murder or manslaughter), </w:t>
      </w:r>
      <w:r w:rsidRPr="0052255D" w:rsidR="00F06889">
        <w:t>17.10</w:t>
      </w:r>
      <w:r w:rsidRPr="0052255D" w:rsidR="007E3991">
        <w:t xml:space="preserve"> (conviction of lesser included or lesser related offense</w:t>
      </w:r>
      <w:r w:rsidR="00A05E9D">
        <w:t> </w:t>
      </w:r>
      <w:r w:rsidRPr="0052255D" w:rsidR="007E3991">
        <w:t>— implied acquittal)</w:t>
      </w:r>
      <w:r w:rsidRPr="0052255D" w:rsidR="00F06889">
        <w:t xml:space="preserve">, </w:t>
      </w:r>
      <w:r w:rsidRPr="0052255D" w:rsidR="00DC17E2">
        <w:t xml:space="preserve">and </w:t>
      </w:r>
      <w:r w:rsidRPr="0052255D" w:rsidR="00F06889">
        <w:t>17.</w:t>
      </w:r>
      <w:r w:rsidRPr="0052255D" w:rsidR="00DC17E2">
        <w:t>40 (individual opinion required</w:t>
      </w:r>
      <w:r w:rsidR="00A05E9D">
        <w:t> </w:t>
      </w:r>
      <w:r w:rsidRPr="0052255D" w:rsidR="00DC17E2">
        <w:t>— duty to deliberate)</w:t>
      </w:r>
      <w:r w:rsidRPr="0052255D" w:rsidR="00BE0255">
        <w:t>, in addition to CALJIC Nos. 8.71 and 8.72</w:t>
      </w:r>
      <w:r w:rsidRPr="0052255D" w:rsidR="00DC17E2">
        <w:t>.  (</w:t>
      </w:r>
      <w:r w:rsidRPr="0052255D" w:rsidR="00DC17E2">
        <w:rPr>
          <w:i/>
          <w:iCs/>
        </w:rPr>
        <w:t>Salazar</w:t>
      </w:r>
      <w:r w:rsidRPr="0052255D" w:rsidR="00DC17E2">
        <w:t xml:space="preserve">, </w:t>
      </w:r>
      <w:r w:rsidR="0072674F">
        <w:rPr>
          <w:i/>
          <w:iCs/>
        </w:rPr>
        <w:t>supra</w:t>
      </w:r>
      <w:r w:rsidR="0072674F">
        <w:t>,</w:t>
      </w:r>
      <w:r w:rsidR="0072674F">
        <w:rPr>
          <w:i/>
          <w:iCs/>
        </w:rPr>
        <w:t xml:space="preserve"> </w:t>
      </w:r>
      <w:r w:rsidRPr="0052255D" w:rsidR="00F13B97">
        <w:t xml:space="preserve">63 Cal.4th </w:t>
      </w:r>
      <w:r w:rsidRPr="0052255D" w:rsidR="00DC17E2">
        <w:t>at p.</w:t>
      </w:r>
      <w:r w:rsidR="00E52A11">
        <w:t> </w:t>
      </w:r>
      <w:r w:rsidRPr="0052255D" w:rsidR="004C01EF">
        <w:t>247.)</w:t>
      </w:r>
      <w:r w:rsidRPr="0052255D">
        <w:rPr>
          <w:i/>
          <w:iCs/>
        </w:rPr>
        <w:t xml:space="preserve"> </w:t>
      </w:r>
      <w:r w:rsidRPr="0052255D" w:rsidR="004C01EF">
        <w:rPr>
          <w:i/>
          <w:iCs/>
        </w:rPr>
        <w:t xml:space="preserve"> </w:t>
      </w:r>
      <w:r w:rsidRPr="0052255D" w:rsidR="00BA3E6E">
        <w:t>We</w:t>
      </w:r>
      <w:r w:rsidRPr="0052255D" w:rsidR="00BA3E6E">
        <w:rPr>
          <w:iCs/>
        </w:rPr>
        <w:t xml:space="preserve"> </w:t>
      </w:r>
      <w:r w:rsidRPr="0052255D" w:rsidR="004C01EF">
        <w:t>held</w:t>
      </w:r>
      <w:r w:rsidRPr="0052255D" w:rsidR="00BA3E6E">
        <w:t xml:space="preserve"> that a reasonable juror, considering the instructions as a whole, would have understood the phrase “ ‘unanimously agree that you have a reasonable doubt’ ” to “reflect the principle stated in CALJIC No. 17.10:  ‘the court cannot accept a guilty verdict on a lesser crime unless you have unanimously found the defendant not guilty of the charged crime.’ ”  (</w:t>
      </w:r>
      <w:r w:rsidRPr="0052255D" w:rsidR="00F845C1">
        <w:rPr>
          <w:i/>
        </w:rPr>
        <w:t>Salazar</w:t>
      </w:r>
      <w:r w:rsidRPr="0052255D" w:rsidR="00F845C1">
        <w:rPr>
          <w:iCs/>
        </w:rPr>
        <w:t>,</w:t>
      </w:r>
      <w:r w:rsidRPr="0052255D" w:rsidR="00B94E59">
        <w:rPr>
          <w:iCs/>
        </w:rPr>
        <w:t xml:space="preserve"> at pp.</w:t>
      </w:r>
      <w:r w:rsidR="00C44E18">
        <w:rPr>
          <w:iCs/>
        </w:rPr>
        <w:t> </w:t>
      </w:r>
      <w:r w:rsidRPr="0052255D" w:rsidR="00B94E59">
        <w:rPr>
          <w:iCs/>
        </w:rPr>
        <w:t>247–248.</w:t>
      </w:r>
      <w:r w:rsidRPr="0052255D" w:rsidR="00BA3E6E">
        <w:t xml:space="preserve">)  </w:t>
      </w:r>
      <w:r w:rsidRPr="0052255D" w:rsidR="00BE0255">
        <w:t>We also</w:t>
      </w:r>
      <w:r w:rsidRPr="0052255D" w:rsidR="00F845C1">
        <w:t xml:space="preserve"> rejected </w:t>
      </w:r>
      <w:r w:rsidRPr="0052255D" w:rsidR="0088331F">
        <w:t xml:space="preserve">the </w:t>
      </w:r>
      <w:r w:rsidRPr="0052255D" w:rsidR="00423FEC">
        <w:t xml:space="preserve">very </w:t>
      </w:r>
      <w:r w:rsidRPr="0052255D" w:rsidR="0088331F">
        <w:t>interpretation</w:t>
      </w:r>
      <w:r w:rsidRPr="0052255D" w:rsidR="008E2CE2">
        <w:t xml:space="preserve"> </w:t>
      </w:r>
      <w:r w:rsidRPr="0052255D" w:rsidR="0088331F">
        <w:t>advanced by defendant here</w:t>
      </w:r>
      <w:r w:rsidR="00603517">
        <w:t> </w:t>
      </w:r>
      <w:r w:rsidRPr="0052255D" w:rsidR="0088331F">
        <w:t>—</w:t>
      </w:r>
      <w:r w:rsidRPr="0052255D" w:rsidR="00047EA2">
        <w:t xml:space="preserve"> </w:t>
      </w:r>
      <w:r w:rsidRPr="0052255D" w:rsidR="0088331F">
        <w:t xml:space="preserve">that the 1996 revised version of CALJIC No. 8.71 lowered the prosecution’s burden of proof by making first degree murder the </w:t>
      </w:r>
      <w:r w:rsidRPr="0052255D" w:rsidR="005B7AAB">
        <w:t>default verdict</w:t>
      </w:r>
      <w:r w:rsidRPr="0052255D" w:rsidR="008E2CE2">
        <w:t>.</w:t>
      </w:r>
      <w:r w:rsidRPr="0052255D" w:rsidR="008E2CE2">
        <w:rPr>
          <w:i/>
          <w:iCs/>
        </w:rPr>
        <w:t xml:space="preserve">  </w:t>
      </w:r>
      <w:r w:rsidRPr="0052255D" w:rsidR="00217FB7">
        <w:t>(</w:t>
      </w:r>
      <w:r w:rsidRPr="0052255D" w:rsidR="00217FB7">
        <w:rPr>
          <w:i/>
          <w:iCs/>
        </w:rPr>
        <w:t>Salazar</w:t>
      </w:r>
      <w:r w:rsidRPr="0052255D" w:rsidR="00217FB7">
        <w:t>, at p. 247.)</w:t>
      </w:r>
      <w:r w:rsidRPr="0052255D" w:rsidR="00A72F3F">
        <w:t xml:space="preserve"> </w:t>
      </w:r>
      <w:r w:rsidRPr="0052255D" w:rsidR="008A5E4A">
        <w:t xml:space="preserve"> </w:t>
      </w:r>
      <w:r w:rsidRPr="0052255D" w:rsidR="006071B7">
        <w:t xml:space="preserve">We </w:t>
      </w:r>
      <w:r w:rsidRPr="0052255D" w:rsidR="00E93798">
        <w:t>pointed out</w:t>
      </w:r>
      <w:r w:rsidRPr="0052255D" w:rsidR="006071B7">
        <w:t xml:space="preserve"> that the </w:t>
      </w:r>
      <w:r w:rsidRPr="0052255D" w:rsidR="005A1BB4">
        <w:t>1996 versions of CALJIC Nos. 8.71 and 8.72</w:t>
      </w:r>
      <w:r w:rsidRPr="0052255D" w:rsidR="005B2B59">
        <w:t>,</w:t>
      </w:r>
      <w:r w:rsidRPr="0052255D" w:rsidR="0059419C">
        <w:t xml:space="preserve"> </w:t>
      </w:r>
      <w:r w:rsidRPr="0052255D" w:rsidR="005A1BB4">
        <w:t>“</w:t>
      </w:r>
      <w:r w:rsidRPr="0052255D" w:rsidR="005B2B59">
        <w:t xml:space="preserve">[i]f anything, </w:t>
      </w:r>
      <w:r w:rsidR="00171353">
        <w:t xml:space="preserve">[ ] </w:t>
      </w:r>
      <w:r w:rsidRPr="0052255D" w:rsidR="0059419C">
        <w:t xml:space="preserve">skewed the deliberations in </w:t>
      </w:r>
      <w:r w:rsidRPr="0052255D" w:rsidR="005A1BB4">
        <w:t>[</w:t>
      </w:r>
      <w:r w:rsidRPr="0052255D" w:rsidR="00D03FE9">
        <w:t xml:space="preserve">a </w:t>
      </w:r>
      <w:r w:rsidRPr="0052255D" w:rsidR="005A1BB4">
        <w:t>defendant’s]</w:t>
      </w:r>
      <w:r w:rsidRPr="0052255D" w:rsidR="0059419C">
        <w:t xml:space="preserve"> favor. </w:t>
      </w:r>
      <w:r w:rsidRPr="0052255D" w:rsidR="006071B7">
        <w:t xml:space="preserve"> </w:t>
      </w:r>
      <w:r w:rsidRPr="0052255D" w:rsidR="0059419C">
        <w:t xml:space="preserve">They could reasonably be understood to tell the jurors that if they all agreed there was reasonable doubt as to the degree of the crime, because some jurors were not convinced, then </w:t>
      </w:r>
      <w:r w:rsidRPr="0052255D" w:rsidR="00D03FE9">
        <w:t xml:space="preserve">[a] </w:t>
      </w:r>
      <w:r w:rsidRPr="0052255D" w:rsidR="0059419C">
        <w:t xml:space="preserve">defendant was entitled to the benefit of the doubt and a verdict of the lesser offense. </w:t>
      </w:r>
      <w:r w:rsidRPr="0052255D" w:rsidR="006071B7">
        <w:t xml:space="preserve"> </w:t>
      </w:r>
      <w:r w:rsidRPr="0052255D" w:rsidR="0059419C">
        <w:t>No logical reading of the instructions leads to a compelled verdict of first degree murder.</w:t>
      </w:r>
      <w:r w:rsidRPr="0052255D" w:rsidR="005A1BB4">
        <w:t>”  (</w:t>
      </w:r>
      <w:r w:rsidRPr="0052255D" w:rsidR="00E93798">
        <w:rPr>
          <w:i/>
          <w:iCs/>
        </w:rPr>
        <w:t>Salazar</w:t>
      </w:r>
      <w:r w:rsidRPr="0052255D" w:rsidR="00E93798">
        <w:t>, at p. 247.</w:t>
      </w:r>
      <w:r w:rsidRPr="0052255D" w:rsidR="00E95998">
        <w:t>)</w:t>
      </w:r>
      <w:r w:rsidRPr="0052255D" w:rsidR="0059419C">
        <w:t xml:space="preserve">  </w:t>
      </w:r>
      <w:r w:rsidRPr="0052255D" w:rsidR="00AB4D21">
        <w:t xml:space="preserve">We also emphasized that </w:t>
      </w:r>
      <w:r w:rsidRPr="0052255D" w:rsidR="00E93798">
        <w:t xml:space="preserve">the </w:t>
      </w:r>
      <w:r w:rsidRPr="0052255D" w:rsidR="00AB4D21">
        <w:t>defendant’s interpretation “assumes the jury would disregard not only CALJIC Nos. 8.74 and 17.10, but also the explicit directions of CALJIC No. 17.40 emphasizing each juror’s duty to decide the case as an individual.</w:t>
      </w:r>
      <w:r w:rsidRPr="0052255D" w:rsidR="00C84A5F">
        <w:t>”  (</w:t>
      </w:r>
      <w:r w:rsidRPr="0052255D" w:rsidR="00E93798">
        <w:rPr>
          <w:i/>
          <w:iCs/>
        </w:rPr>
        <w:t>Salazar</w:t>
      </w:r>
      <w:r w:rsidRPr="0052255D" w:rsidR="00E93798">
        <w:t>,</w:t>
      </w:r>
      <w:r w:rsidRPr="0052255D" w:rsidR="00C84A5F">
        <w:t xml:space="preserve"> at p. 248.)</w:t>
      </w:r>
      <w:r w:rsidRPr="0052255D" w:rsidR="00AB4D21">
        <w:t xml:space="preserve">  </w:t>
      </w:r>
      <w:r w:rsidRPr="0052255D" w:rsidR="00A06F43">
        <w:t xml:space="preserve">More recently, </w:t>
      </w:r>
      <w:r w:rsidRPr="0052255D" w:rsidR="009A0F19">
        <w:t>we held that the use of CALJIC No. 8.71 was not erroneous</w:t>
      </w:r>
      <w:r w:rsidRPr="0052255D" w:rsidR="00217B9B">
        <w:t>,</w:t>
      </w:r>
      <w:r w:rsidRPr="0052255D" w:rsidR="009A0F19">
        <w:t xml:space="preserve"> </w:t>
      </w:r>
      <w:r w:rsidRPr="0052255D" w:rsidR="00217B9B">
        <w:t xml:space="preserve">when considered in the context of the instructions as a whole, </w:t>
      </w:r>
      <w:r w:rsidRPr="0052255D" w:rsidR="009A0F19">
        <w:t>whe</w:t>
      </w:r>
      <w:r w:rsidRPr="0052255D" w:rsidR="00217B9B">
        <w:t>re</w:t>
      </w:r>
      <w:r w:rsidRPr="0052255D" w:rsidR="009A0F19">
        <w:t xml:space="preserve"> </w:t>
      </w:r>
      <w:r w:rsidRPr="0052255D" w:rsidR="001C16A1">
        <w:t>the jury was also instructed with CALJIC Nos.</w:t>
      </w:r>
      <w:r w:rsidR="00E52A11">
        <w:t> </w:t>
      </w:r>
      <w:r w:rsidRPr="0052255D" w:rsidR="001C16A1">
        <w:t>8.74 and 17.40.  (</w:t>
      </w:r>
      <w:r w:rsidRPr="0052255D" w:rsidR="001C16A1">
        <w:rPr>
          <w:i/>
          <w:iCs/>
        </w:rPr>
        <w:t>Rivera</w:t>
      </w:r>
      <w:r w:rsidRPr="0052255D" w:rsidR="001C16A1">
        <w:t xml:space="preserve">, </w:t>
      </w:r>
      <w:r w:rsidRPr="0052255D" w:rsidR="001C16A1">
        <w:rPr>
          <w:i/>
          <w:iCs/>
        </w:rPr>
        <w:t>supra</w:t>
      </w:r>
      <w:r w:rsidRPr="0052255D" w:rsidR="001C16A1">
        <w:t xml:space="preserve">, </w:t>
      </w:r>
      <w:r w:rsidRPr="0052255D" w:rsidR="00C26A2F">
        <w:t>7 Cal.5th at p. 326.)</w:t>
      </w:r>
    </w:p>
    <w:p w:rsidR="00C153C7" w:rsidRPr="0052255D" w:rsidP="0052255D">
      <w:pPr>
        <w:tabs>
          <w:tab w:val="left" w:pos="1440"/>
        </w:tabs>
        <w:ind w:firstLine="720"/>
      </w:pPr>
      <w:r w:rsidRPr="0052255D">
        <w:t xml:space="preserve">As in </w:t>
      </w:r>
      <w:r w:rsidRPr="0052255D">
        <w:rPr>
          <w:i/>
          <w:iCs/>
        </w:rPr>
        <w:t>Salazar</w:t>
      </w:r>
      <w:r w:rsidRPr="0052255D">
        <w:t xml:space="preserve">, the jury here was </w:t>
      </w:r>
      <w:r w:rsidRPr="0052255D" w:rsidR="00D813B8">
        <w:t xml:space="preserve">also </w:t>
      </w:r>
      <w:r w:rsidRPr="0052255D">
        <w:t xml:space="preserve">instructed with CALJIC Nos. 8.74, 17.10, and 17.40.  </w:t>
      </w:r>
      <w:r w:rsidRPr="0052255D" w:rsidR="00C178EB">
        <w:t xml:space="preserve">And, like </w:t>
      </w:r>
      <w:r w:rsidRPr="0052255D" w:rsidR="00DF2860">
        <w:t xml:space="preserve">in </w:t>
      </w:r>
      <w:r w:rsidRPr="0052255D" w:rsidR="00DF2860">
        <w:rPr>
          <w:i/>
          <w:iCs/>
        </w:rPr>
        <w:t>Rivera</w:t>
      </w:r>
      <w:r w:rsidRPr="0052255D" w:rsidR="00DF2860">
        <w:t>, there is no evidence that the jury was confused by the instruction</w:t>
      </w:r>
      <w:r w:rsidRPr="0052255D" w:rsidR="003C5C3A">
        <w:t xml:space="preserve">. </w:t>
      </w:r>
      <w:r w:rsidRPr="0052255D" w:rsidR="00DF2860">
        <w:rPr>
          <w:i/>
          <w:iCs/>
        </w:rPr>
        <w:t xml:space="preserve"> </w:t>
      </w:r>
      <w:r w:rsidRPr="0052255D" w:rsidR="003C5C3A">
        <w:t>(</w:t>
      </w:r>
      <w:r w:rsidRPr="0052255D" w:rsidR="003C5C3A">
        <w:rPr>
          <w:i/>
          <w:iCs/>
        </w:rPr>
        <w:t>Rivera</w:t>
      </w:r>
      <w:r w:rsidRPr="0052255D" w:rsidR="003C5C3A">
        <w:t xml:space="preserve">, </w:t>
      </w:r>
      <w:r w:rsidRPr="0052255D" w:rsidR="003C5C3A">
        <w:rPr>
          <w:i/>
          <w:iCs/>
        </w:rPr>
        <w:t>supra</w:t>
      </w:r>
      <w:r w:rsidRPr="0052255D" w:rsidR="003C5C3A">
        <w:t xml:space="preserve">, 7 Cal.5th at p. 327.) </w:t>
      </w:r>
      <w:r w:rsidRPr="0052255D" w:rsidR="003C5C3A">
        <w:rPr>
          <w:i/>
          <w:iCs/>
        </w:rPr>
        <w:t xml:space="preserve"> </w:t>
      </w:r>
      <w:r w:rsidRPr="0052255D" w:rsidR="00362736">
        <w:t xml:space="preserve">Consistent with our precedent, we conclude that the trial court’s </w:t>
      </w:r>
      <w:r w:rsidRPr="0052255D" w:rsidR="00D813B8">
        <w:t>use of</w:t>
      </w:r>
      <w:r w:rsidRPr="0052255D" w:rsidR="0064447D">
        <w:t xml:space="preserve"> </w:t>
      </w:r>
      <w:r w:rsidRPr="0052255D" w:rsidR="00362736">
        <w:t>the 1996 revised version of CALJIC No. 8.71 was not erroneous when considered with the rest of the charge to the jury</w:t>
      </w:r>
      <w:r w:rsidRPr="0052255D" w:rsidR="00BE11A1">
        <w:t xml:space="preserve"> and </w:t>
      </w:r>
      <w:r w:rsidRPr="0052255D" w:rsidR="00E46069">
        <w:t>“</w:t>
      </w:r>
      <w:r w:rsidRPr="0052255D" w:rsidR="00BE11A1">
        <w:t xml:space="preserve">given the lack of any indication that the jury was confused or misled into returning the greater verdict of first degree murder despite a juror having a </w:t>
      </w:r>
      <w:r w:rsidRPr="0052255D" w:rsidR="00E46069">
        <w:t>reasonable doubt of such a finding</w:t>
      </w:r>
      <w:r w:rsidRPr="0052255D" w:rsidR="00362736">
        <w:t>.</w:t>
      </w:r>
      <w:r w:rsidRPr="0052255D" w:rsidR="00E46069">
        <w:t>”  (</w:t>
      </w:r>
      <w:r w:rsidR="00025395">
        <w:rPr>
          <w:i/>
          <w:iCs/>
        </w:rPr>
        <w:t>Rivera</w:t>
      </w:r>
      <w:r w:rsidR="00025395">
        <w:t>, at p. 327</w:t>
      </w:r>
      <w:r w:rsidR="00CE5B47">
        <w:t>.</w:t>
      </w:r>
      <w:r w:rsidRPr="0052255D" w:rsidR="00E46069">
        <w:t>)</w:t>
      </w:r>
      <w:r w:rsidRPr="0052255D" w:rsidR="00362736">
        <w:t xml:space="preserve">  </w:t>
      </w:r>
      <w:r w:rsidRPr="0052255D" w:rsidR="00D37A7C">
        <w:t>We therefore reject defendant’s argument for reversal on this basis</w:t>
      </w:r>
      <w:r w:rsidRPr="0052255D">
        <w:t>.</w:t>
      </w:r>
    </w:p>
    <w:p w:rsidR="000B6247" w:rsidRPr="0052255D" w:rsidP="0052255D">
      <w:pPr>
        <w:pStyle w:val="Heading3"/>
      </w:pPr>
      <w:bookmarkStart w:id="24" w:name="_Toc94515344"/>
      <w:r w:rsidRPr="0052255D">
        <w:t>9</w:t>
      </w:r>
      <w:r w:rsidRPr="0052255D">
        <w:t xml:space="preserve">.  Sufficiency of </w:t>
      </w:r>
      <w:r w:rsidRPr="0052255D" w:rsidR="0039038A">
        <w:t>e</w:t>
      </w:r>
      <w:r w:rsidRPr="0052255D">
        <w:t xml:space="preserve">vidence </w:t>
      </w:r>
      <w:r w:rsidRPr="0052255D" w:rsidR="003C7E4B">
        <w:t>for</w:t>
      </w:r>
      <w:r w:rsidRPr="0052255D">
        <w:t xml:space="preserve"> </w:t>
      </w:r>
      <w:r w:rsidRPr="0052255D" w:rsidR="0039038A">
        <w:t>l</w:t>
      </w:r>
      <w:r w:rsidRPr="0052255D">
        <w:t>ying</w:t>
      </w:r>
      <w:r w:rsidRPr="0052255D" w:rsidR="00DD4037">
        <w:t>-</w:t>
      </w:r>
      <w:r w:rsidRPr="0052255D">
        <w:t>in</w:t>
      </w:r>
      <w:r w:rsidRPr="0052255D" w:rsidR="00DD4037">
        <w:t>-</w:t>
      </w:r>
      <w:r w:rsidRPr="0052255D" w:rsidR="0039038A">
        <w:t>w</w:t>
      </w:r>
      <w:r w:rsidRPr="0052255D">
        <w:t xml:space="preserve">ait </w:t>
      </w:r>
      <w:r w:rsidRPr="0052255D" w:rsidR="0039038A">
        <w:t>s</w:t>
      </w:r>
      <w:r w:rsidRPr="0052255D">
        <w:t>pecial</w:t>
      </w:r>
      <w:r w:rsidRPr="0052255D" w:rsidR="003C7E4B">
        <w:t xml:space="preserve"> </w:t>
      </w:r>
      <w:r w:rsidRPr="0052255D" w:rsidR="0039038A">
        <w:t>c</w:t>
      </w:r>
      <w:r w:rsidRPr="0052255D">
        <w:t xml:space="preserve">ircumstance </w:t>
      </w:r>
      <w:bookmarkEnd w:id="24"/>
    </w:p>
    <w:p w:rsidR="000B6247" w:rsidRPr="0052255D" w:rsidP="0052255D">
      <w:pPr>
        <w:tabs>
          <w:tab w:val="left" w:pos="1440"/>
        </w:tabs>
        <w:ind w:firstLine="720"/>
      </w:pPr>
      <w:r w:rsidRPr="0052255D">
        <w:t xml:space="preserve">Defendant </w:t>
      </w:r>
      <w:r w:rsidRPr="0052255D" w:rsidR="0039038A">
        <w:t>argue</w:t>
      </w:r>
      <w:r w:rsidRPr="0052255D" w:rsidR="00CB1867">
        <w:t xml:space="preserve">s there was insufficient evidence to support the jury’s </w:t>
      </w:r>
      <w:r w:rsidRPr="0052255D" w:rsidR="009016E9">
        <w:t xml:space="preserve">special circumstance </w:t>
      </w:r>
      <w:r w:rsidRPr="0052255D" w:rsidR="00CB1867">
        <w:t xml:space="preserve">finding that he killed Johnson while lying in wait.  </w:t>
      </w:r>
      <w:r w:rsidR="00CD4EBA">
        <w:t>We disagree</w:t>
      </w:r>
      <w:r w:rsidRPr="0052255D" w:rsidR="00BF3512">
        <w:t>.</w:t>
      </w:r>
    </w:p>
    <w:p w:rsidR="00BF3512" w:rsidRPr="0052255D" w:rsidP="0052255D">
      <w:pPr>
        <w:tabs>
          <w:tab w:val="left" w:pos="1440"/>
        </w:tabs>
        <w:ind w:firstLine="720"/>
      </w:pPr>
      <w:r w:rsidRPr="0052255D">
        <w:t xml:space="preserve">We </w:t>
      </w:r>
      <w:r w:rsidRPr="0052255D" w:rsidR="006D1BE7">
        <w:t>a</w:t>
      </w:r>
      <w:r w:rsidRPr="0052255D" w:rsidR="008F632E">
        <w:t xml:space="preserve">nalyze </w:t>
      </w:r>
      <w:r w:rsidRPr="0052255D">
        <w:t>a</w:t>
      </w:r>
      <w:r w:rsidRPr="0052255D" w:rsidR="002340EA">
        <w:t xml:space="preserve"> sufficiency</w:t>
      </w:r>
      <w:r w:rsidRPr="0052255D" w:rsidR="008F632E">
        <w:t>-</w:t>
      </w:r>
      <w:r w:rsidRPr="0052255D" w:rsidR="002340EA">
        <w:t>of</w:t>
      </w:r>
      <w:r w:rsidRPr="0052255D" w:rsidR="008F632E">
        <w:t>-</w:t>
      </w:r>
      <w:r w:rsidRPr="0052255D" w:rsidR="002340EA">
        <w:t>the</w:t>
      </w:r>
      <w:r w:rsidRPr="0052255D" w:rsidR="008F632E">
        <w:t>-</w:t>
      </w:r>
      <w:r w:rsidRPr="0052255D" w:rsidR="002340EA">
        <w:t xml:space="preserve">evidence challenge to a special circumstance finding </w:t>
      </w:r>
      <w:r w:rsidRPr="0052255D">
        <w:t xml:space="preserve">under the same </w:t>
      </w:r>
      <w:r w:rsidRPr="0052255D" w:rsidR="00242549">
        <w:t>standard</w:t>
      </w:r>
      <w:r w:rsidRPr="0052255D">
        <w:t xml:space="preserve"> applied to a conviction</w:t>
      </w:r>
      <w:r w:rsidRPr="0052255D" w:rsidR="00242549">
        <w:t>:  “Reviewed in the light most favorable to the judgment, the record must contain reasonable and credible evidence of solid value, ‘such that a reasonable trier of fact could find the defendant guilty beyond a reasonable doubt.’ ”</w:t>
      </w:r>
      <w:r w:rsidRPr="0052255D" w:rsidR="009153F9">
        <w:t xml:space="preserve">  (</w:t>
      </w:r>
      <w:r w:rsidRPr="0052255D" w:rsidR="009153F9">
        <w:rPr>
          <w:i/>
          <w:iCs/>
        </w:rPr>
        <w:t xml:space="preserve">People v. Stevens </w:t>
      </w:r>
      <w:r w:rsidRPr="0052255D" w:rsidR="009153F9">
        <w:t>(2007) 41</w:t>
      </w:r>
      <w:r w:rsidRPr="0052255D" w:rsidR="00E9019B">
        <w:t> </w:t>
      </w:r>
      <w:r w:rsidRPr="0052255D" w:rsidR="009153F9">
        <w:t>Cal.4th 182, 201</w:t>
      </w:r>
      <w:r w:rsidRPr="0052255D" w:rsidR="004C3705">
        <w:t xml:space="preserve"> (</w:t>
      </w:r>
      <w:r w:rsidRPr="0052255D" w:rsidR="004C3705">
        <w:rPr>
          <w:i/>
          <w:iCs/>
        </w:rPr>
        <w:t>Stevens</w:t>
      </w:r>
      <w:r w:rsidRPr="0052255D" w:rsidR="004C3705">
        <w:t>)</w:t>
      </w:r>
      <w:r w:rsidRPr="0052255D" w:rsidR="009153F9">
        <w:t>.)</w:t>
      </w:r>
    </w:p>
    <w:p w:rsidR="003E290B" w:rsidRPr="0052255D" w:rsidP="0052255D">
      <w:pPr>
        <w:tabs>
          <w:tab w:val="left" w:pos="1440"/>
        </w:tabs>
        <w:ind w:firstLine="720"/>
      </w:pPr>
      <w:r w:rsidRPr="0052255D">
        <w:t xml:space="preserve">At the time of </w:t>
      </w:r>
      <w:r w:rsidRPr="0052255D" w:rsidR="00D86EB5">
        <w:t xml:space="preserve">defendant’s </w:t>
      </w:r>
      <w:r w:rsidRPr="0052255D" w:rsidR="00196864">
        <w:t xml:space="preserve">capital </w:t>
      </w:r>
      <w:r w:rsidRPr="0052255D" w:rsidR="00D86EB5">
        <w:t>crime, the special circumstance required that the murder be committed “</w:t>
      </w:r>
      <w:r w:rsidRPr="0052255D" w:rsidR="00D86EB5">
        <w:rPr>
          <w:i/>
          <w:iCs/>
        </w:rPr>
        <w:t xml:space="preserve">while </w:t>
      </w:r>
      <w:r w:rsidRPr="0052255D" w:rsidR="00D86EB5">
        <w:t xml:space="preserve">lying in wait.”  </w:t>
      </w:r>
      <w:r w:rsidRPr="0052255D" w:rsidR="00351D8E">
        <w:t>(§ 190.2, former subd. (a)(15)</w:t>
      </w:r>
      <w:r w:rsidRPr="0052255D" w:rsidR="00661AED">
        <w:t>, italics added</w:t>
      </w:r>
      <w:r w:rsidRPr="0052255D" w:rsidR="00610456">
        <w:t xml:space="preserve">; see </w:t>
      </w:r>
      <w:r w:rsidRPr="0052255D" w:rsidR="00610456">
        <w:rPr>
          <w:i/>
          <w:iCs/>
        </w:rPr>
        <w:t xml:space="preserve">People v. Streeter </w:t>
      </w:r>
      <w:r w:rsidRPr="0052255D" w:rsidR="00610456">
        <w:t>(2012) 54 Cal.4th 205, 246 (</w:t>
      </w:r>
      <w:r w:rsidRPr="0052255D" w:rsidR="00610456">
        <w:rPr>
          <w:i/>
          <w:iCs/>
        </w:rPr>
        <w:t>Streeter</w:t>
      </w:r>
      <w:r w:rsidRPr="0052255D" w:rsidR="00610456">
        <w:t>)</w:t>
      </w:r>
      <w:r w:rsidRPr="0052255D" w:rsidR="00B32B80">
        <w:t>.)</w:t>
      </w:r>
      <w:r w:rsidRPr="0052255D" w:rsidR="00A65860">
        <w:t xml:space="preserve">  Also at that time, “</w:t>
      </w:r>
      <w:r w:rsidR="007E5394">
        <w:t> ‘ “</w:t>
      </w:r>
      <w:r w:rsidRPr="0052255D" w:rsidR="00A65860">
        <w:t xml:space="preserve">the elements of the lying-in-wait special circumstance required an intentional killing, committed under circumstances that included a physical concealment </w:t>
      </w:r>
      <w:r w:rsidR="00430B13">
        <w:t xml:space="preserve">or concealment </w:t>
      </w:r>
      <w:r w:rsidRPr="0052255D" w:rsidR="00A65860">
        <w:t>of purpose; a substantial period of watching and waiting for an opportune time to act; and, immediately thereafter, a surprise attack on an unsuspecting victim from a position of advantage.</w:t>
      </w:r>
      <w:r w:rsidR="00430B13">
        <w:t>” ’ </w:t>
      </w:r>
      <w:r w:rsidRPr="0052255D" w:rsidR="008A285B">
        <w:t>”  (</w:t>
      </w:r>
      <w:r w:rsidRPr="0052255D" w:rsidR="008A285B">
        <w:rPr>
          <w:i/>
          <w:iCs/>
        </w:rPr>
        <w:t>People v. Suarez</w:t>
      </w:r>
      <w:r w:rsidRPr="0052255D" w:rsidR="008A285B">
        <w:t xml:space="preserve"> (2020) 10 Cal.5th 116, </w:t>
      </w:r>
      <w:r w:rsidRPr="0052255D" w:rsidR="00A076F9">
        <w:t xml:space="preserve">171.)  </w:t>
      </w:r>
      <w:r w:rsidRPr="0052255D" w:rsidR="00966667">
        <w:t>“ ‘</w:t>
      </w:r>
      <w:r w:rsidR="00724411">
        <w:t> “ ‘</w:t>
      </w:r>
      <w:r w:rsidRPr="0052255D" w:rsidR="00935C48">
        <w:t xml:space="preserve">The element of concealment </w:t>
      </w:r>
      <w:r w:rsidRPr="0052255D" w:rsidR="00966667">
        <w:t>is satisfied by a showing</w:t>
      </w:r>
      <w:r w:rsidRPr="0052255D" w:rsidR="005023B9">
        <w:t> “</w:t>
      </w:r>
      <w:r w:rsidRPr="0052255D" w:rsidR="003B6C75">
        <w:t> ‘</w:t>
      </w:r>
      <w:r w:rsidRPr="0052255D" w:rsidR="005023B9">
        <w:t>that a defendant’s true intent and purpose were concealed by his actions or conduct.  It is not required that he be literally concealed from view before he attacks the victim.</w:t>
      </w:r>
      <w:r w:rsidRPr="0052255D" w:rsidR="003B6C75">
        <w:t>’ </w:t>
      </w:r>
      <w:r w:rsidRPr="0052255D" w:rsidR="005023B9">
        <w:t>” ’</w:t>
      </w:r>
      <w:r w:rsidRPr="0052255D" w:rsidR="00EC5EB5">
        <w:t> </w:t>
      </w:r>
      <w:r w:rsidRPr="0052255D" w:rsidR="005023B9">
        <w:t>”</w:t>
      </w:r>
      <w:r w:rsidRPr="0052255D" w:rsidR="003B6C75">
        <w:t xml:space="preserve">  (</w:t>
      </w:r>
      <w:r w:rsidRPr="0052255D" w:rsidR="003B6C75">
        <w:rPr>
          <w:i/>
          <w:iCs/>
        </w:rPr>
        <w:t xml:space="preserve">People v. Combs </w:t>
      </w:r>
      <w:r w:rsidRPr="0052255D" w:rsidR="003B6C75">
        <w:t>(2004) 34 Cal.4th 821, 85</w:t>
      </w:r>
      <w:r w:rsidRPr="0052255D" w:rsidR="005819D5">
        <w:t>3</w:t>
      </w:r>
      <w:r w:rsidRPr="0052255D" w:rsidR="00321E9C">
        <w:t xml:space="preserve"> (</w:t>
      </w:r>
      <w:r w:rsidRPr="0052255D" w:rsidR="00321E9C">
        <w:rPr>
          <w:i/>
          <w:iCs/>
        </w:rPr>
        <w:t>Combs</w:t>
      </w:r>
      <w:r w:rsidRPr="0052255D" w:rsidR="00321E9C">
        <w:t>)</w:t>
      </w:r>
      <w:r w:rsidRPr="0052255D" w:rsidR="003B6C75">
        <w:t xml:space="preserve">.)  </w:t>
      </w:r>
      <w:r w:rsidRPr="0052255D" w:rsidR="000B5628">
        <w:t>T</w:t>
      </w:r>
      <w:r w:rsidRPr="0052255D" w:rsidR="00160637">
        <w:t xml:space="preserve">he period of </w:t>
      </w:r>
      <w:r w:rsidRPr="0052255D" w:rsidR="000B5628">
        <w:t>watchful waiting</w:t>
      </w:r>
      <w:r w:rsidRPr="0052255D" w:rsidR="00160637">
        <w:t xml:space="preserve"> </w:t>
      </w:r>
      <w:r w:rsidRPr="0052255D" w:rsidR="000B5628">
        <w:t>“</w:t>
      </w:r>
      <w:r w:rsidR="00965C2D">
        <w:t> ‘ “</w:t>
      </w:r>
      <w:r w:rsidRPr="0052255D" w:rsidR="00160637">
        <w:t>need not continue for any particular length ‘ “of time provided that its duration is such as to show a state of mind equivalent to premedi</w:t>
      </w:r>
      <w:r w:rsidRPr="0052255D" w:rsidR="00FC7ACA">
        <w:t>t</w:t>
      </w:r>
      <w:r w:rsidRPr="0052255D" w:rsidR="00160637">
        <w:t>ation and deliberation.”</w:t>
      </w:r>
      <w:r w:rsidRPr="0052255D" w:rsidR="004A1375">
        <w:t> ’ ”  (</w:t>
      </w:r>
      <w:r w:rsidRPr="0052255D" w:rsidR="004A1375">
        <w:rPr>
          <w:i/>
          <w:iCs/>
        </w:rPr>
        <w:t>Suarez</w:t>
      </w:r>
      <w:r w:rsidRPr="0052255D" w:rsidR="004A1375">
        <w:t>, at p. 171</w:t>
      </w:r>
      <w:r w:rsidRPr="0052255D" w:rsidR="00E12647">
        <w:t xml:space="preserve">; see also </w:t>
      </w:r>
      <w:r w:rsidRPr="0052255D" w:rsidR="000B5628">
        <w:rPr>
          <w:i/>
          <w:iCs/>
        </w:rPr>
        <w:t>Stevens</w:t>
      </w:r>
      <w:r w:rsidRPr="0052255D" w:rsidR="000B5628">
        <w:t xml:space="preserve">, </w:t>
      </w:r>
      <w:r w:rsidRPr="0052255D" w:rsidR="000B5628">
        <w:rPr>
          <w:i/>
          <w:iCs/>
        </w:rPr>
        <w:t>supra</w:t>
      </w:r>
      <w:r w:rsidRPr="0052255D" w:rsidR="000B5628">
        <w:t>, 41</w:t>
      </w:r>
      <w:r w:rsidR="00C44E18">
        <w:t> </w:t>
      </w:r>
      <w:r w:rsidRPr="0052255D" w:rsidR="000B5628">
        <w:t xml:space="preserve">Cal.4th at p. 202 [“The purpose of the watching and waiting element is to distinguish those cases in which </w:t>
      </w:r>
      <w:r w:rsidR="00EB5D1A">
        <w:t>a</w:t>
      </w:r>
      <w:r w:rsidRPr="0052255D" w:rsidR="000B5628">
        <w:t xml:space="preserve"> defendant acts insidiously from those in which he acts out of rash impulse</w:t>
      </w:r>
      <w:r w:rsidRPr="0052255D" w:rsidR="00C91171">
        <w:t>”]</w:t>
      </w:r>
      <w:r w:rsidRPr="0052255D" w:rsidR="004A1375">
        <w:t>.)</w:t>
      </w:r>
    </w:p>
    <w:p w:rsidR="00C528E8" w:rsidRPr="0052255D" w:rsidP="0052255D">
      <w:pPr>
        <w:tabs>
          <w:tab w:val="left" w:pos="1440"/>
        </w:tabs>
        <w:ind w:firstLine="720"/>
      </w:pPr>
      <w:r w:rsidRPr="0052255D">
        <w:t>W</w:t>
      </w:r>
      <w:r w:rsidRPr="0052255D" w:rsidR="00825C8E">
        <w:t>e conclude that t</w:t>
      </w:r>
      <w:r w:rsidRPr="0052255D" w:rsidR="003E290B">
        <w:t>he evidence amply supports the lying-in-wait special</w:t>
      </w:r>
      <w:r w:rsidRPr="0052255D" w:rsidR="00D37A7C">
        <w:t xml:space="preserve"> </w:t>
      </w:r>
      <w:r w:rsidRPr="0052255D" w:rsidR="003E290B">
        <w:t>circumstance finding.</w:t>
      </w:r>
      <w:r w:rsidRPr="0052255D" w:rsidR="000F25FE">
        <w:t xml:space="preserve">  To carry out their plan to murder Johnson and Masubayashi, defendant</w:t>
      </w:r>
      <w:r w:rsidRPr="0052255D" w:rsidR="00601CEF">
        <w:t xml:space="preserve">, Lee, Chung, and </w:t>
      </w:r>
      <w:r w:rsidRPr="0052255D" w:rsidR="00160CB7">
        <w:t xml:space="preserve">Carrillo </w:t>
      </w:r>
      <w:r w:rsidRPr="0052255D" w:rsidR="00601CEF">
        <w:t xml:space="preserve">devised a </w:t>
      </w:r>
      <w:r w:rsidRPr="0052255D" w:rsidR="00FA4386">
        <w:t>scheme</w:t>
      </w:r>
      <w:r w:rsidRPr="0052255D" w:rsidR="00601CEF">
        <w:t xml:space="preserve"> in which defendant and Carrillo would </w:t>
      </w:r>
      <w:r w:rsidRPr="0052255D" w:rsidR="0098161E">
        <w:t>lure</w:t>
      </w:r>
      <w:r w:rsidRPr="0052255D" w:rsidR="00B360EB">
        <w:t xml:space="preserve"> Johnson and Masubayashi</w:t>
      </w:r>
      <w:r w:rsidRPr="0052255D" w:rsidR="0098161E">
        <w:t xml:space="preserve"> from their apartment</w:t>
      </w:r>
      <w:r w:rsidRPr="0052255D" w:rsidR="00B360EB">
        <w:t xml:space="preserve"> </w:t>
      </w:r>
      <w:r w:rsidRPr="0052255D" w:rsidR="008025B4">
        <w:t>under the pretext</w:t>
      </w:r>
      <w:r w:rsidRPr="0052255D" w:rsidR="00011E93">
        <w:t xml:space="preserve"> of </w:t>
      </w:r>
      <w:r w:rsidRPr="0052255D" w:rsidR="00B206CD">
        <w:t xml:space="preserve">going out </w:t>
      </w:r>
      <w:r w:rsidRPr="0052255D" w:rsidR="008025B4">
        <w:t xml:space="preserve">to </w:t>
      </w:r>
      <w:r w:rsidR="00252E5A">
        <w:t xml:space="preserve">a strip club or to </w:t>
      </w:r>
      <w:r w:rsidRPr="0052255D" w:rsidR="008025B4">
        <w:t>shoot pool</w:t>
      </w:r>
      <w:r w:rsidRPr="0052255D" w:rsidR="00044428">
        <w:t xml:space="preserve">.  </w:t>
      </w:r>
      <w:r w:rsidRPr="0052255D" w:rsidR="00944A54">
        <w:t>As defendant sat in the backseat</w:t>
      </w:r>
      <w:r w:rsidRPr="0052255D" w:rsidR="00825C8E">
        <w:t xml:space="preserve"> of Masubayashi’s car</w:t>
      </w:r>
      <w:r w:rsidRPr="0052255D" w:rsidR="00944A54">
        <w:t xml:space="preserve">, he was armed with a gun, waiting for an opportune time to kill Masubayashi and Johnson.  </w:t>
      </w:r>
      <w:r w:rsidRPr="0052255D" w:rsidR="006D7E77">
        <w:t xml:space="preserve">Continuing the ruse of going out, </w:t>
      </w:r>
      <w:r w:rsidRPr="0052255D" w:rsidR="00AD6BB0">
        <w:t xml:space="preserve">defendant directed </w:t>
      </w:r>
      <w:r w:rsidRPr="0052255D" w:rsidR="00044428">
        <w:t xml:space="preserve">Masubayashi to </w:t>
      </w:r>
      <w:r w:rsidRPr="0052255D" w:rsidR="00AD6BB0">
        <w:t xml:space="preserve">stop </w:t>
      </w:r>
      <w:r w:rsidRPr="0052255D" w:rsidR="00FF1F26">
        <w:t xml:space="preserve">at </w:t>
      </w:r>
      <w:r w:rsidRPr="0052255D" w:rsidR="00044428">
        <w:t>Chung’s Jeep Cherokee</w:t>
      </w:r>
      <w:r w:rsidRPr="0052255D" w:rsidR="00FF1F26">
        <w:t>,</w:t>
      </w:r>
      <w:r w:rsidRPr="0052255D" w:rsidR="00044428">
        <w:t xml:space="preserve"> </w:t>
      </w:r>
      <w:r w:rsidRPr="0052255D" w:rsidR="00424E5F">
        <w:t>wh</w:t>
      </w:r>
      <w:r w:rsidRPr="0052255D" w:rsidR="00E9110B">
        <w:t xml:space="preserve">ere </w:t>
      </w:r>
      <w:r w:rsidRPr="0052255D" w:rsidR="00424E5F">
        <w:t xml:space="preserve">Lee and Chung </w:t>
      </w:r>
      <w:r w:rsidRPr="0052255D" w:rsidR="00E9110B">
        <w:t>were hiding</w:t>
      </w:r>
      <w:r w:rsidRPr="0052255D" w:rsidR="00B445A7">
        <w:t xml:space="preserve"> and waiting</w:t>
      </w:r>
      <w:r w:rsidRPr="0052255D" w:rsidR="00FF1F26">
        <w:t xml:space="preserve">, </w:t>
      </w:r>
      <w:r w:rsidRPr="0052255D" w:rsidR="004B0871">
        <w:t>claiming that he wanted to drive</w:t>
      </w:r>
      <w:r w:rsidRPr="0052255D" w:rsidR="00BF78EC">
        <w:t xml:space="preserve"> as well</w:t>
      </w:r>
      <w:r w:rsidRPr="0052255D" w:rsidR="00424E5F">
        <w:t xml:space="preserve">.  </w:t>
      </w:r>
      <w:r w:rsidRPr="0052255D" w:rsidR="001E4E32">
        <w:t xml:space="preserve">After Johnson </w:t>
      </w:r>
      <w:r w:rsidRPr="0052255D" w:rsidR="00D60D3B">
        <w:t>exited</w:t>
      </w:r>
      <w:r w:rsidRPr="0052255D" w:rsidR="001E4E32">
        <w:t xml:space="preserve"> Masubayashi’s car to let defendant out</w:t>
      </w:r>
      <w:r w:rsidRPr="0052255D" w:rsidR="00D60D3B">
        <w:t xml:space="preserve"> of the back seat</w:t>
      </w:r>
      <w:r w:rsidRPr="0052255D" w:rsidR="001E4E32">
        <w:t>, defendant surprised Johnson by shooting him in the head.</w:t>
      </w:r>
      <w:r w:rsidRPr="0052255D" w:rsidR="00E96E89">
        <w:t xml:space="preserve"> </w:t>
      </w:r>
      <w:r w:rsidRPr="0052255D" w:rsidR="00EA2FC7">
        <w:t xml:space="preserve"> Thus, the evidence is sufficient to establish </w:t>
      </w:r>
      <w:r w:rsidRPr="0052255D" w:rsidR="00FC7ACA">
        <w:t xml:space="preserve">an intentional killing, </w:t>
      </w:r>
      <w:r w:rsidRPr="0052255D" w:rsidR="007725F8">
        <w:t>committe</w:t>
      </w:r>
      <w:r w:rsidRPr="0052255D" w:rsidR="007A3044">
        <w:t xml:space="preserve">d </w:t>
      </w:r>
      <w:r w:rsidRPr="0052255D" w:rsidR="00D37A7C">
        <w:t>from a position of advan</w:t>
      </w:r>
      <w:r w:rsidRPr="00CD4EBA" w:rsidR="00566AE7">
        <w:t>t</w:t>
      </w:r>
      <w:r w:rsidRPr="00CD4EBA" w:rsidR="00D37A7C">
        <w:t>a</w:t>
      </w:r>
      <w:r w:rsidRPr="00CD4EBA" w:rsidR="00DF656D">
        <w:t>g</w:t>
      </w:r>
      <w:r w:rsidRPr="00CD4EBA" w:rsidR="00D37A7C">
        <w:t>e</w:t>
      </w:r>
      <w:r w:rsidRPr="0052255D" w:rsidR="00D37A7C">
        <w:t xml:space="preserve"> </w:t>
      </w:r>
      <w:r w:rsidRPr="0052255D" w:rsidR="007A3044">
        <w:t>immediately after a period of concealment and watchful waiting.</w:t>
      </w:r>
      <w:r w:rsidRPr="0052255D" w:rsidR="00031E0A">
        <w:t xml:space="preserve">  (See, e.g., </w:t>
      </w:r>
      <w:r w:rsidRPr="0052255D" w:rsidR="00321E9C">
        <w:rPr>
          <w:i/>
          <w:iCs/>
        </w:rPr>
        <w:t>Combs</w:t>
      </w:r>
      <w:r w:rsidRPr="0052255D" w:rsidR="00321E9C">
        <w:t xml:space="preserve">, </w:t>
      </w:r>
      <w:r w:rsidRPr="0052255D" w:rsidR="00321E9C">
        <w:rPr>
          <w:i/>
          <w:iCs/>
        </w:rPr>
        <w:t>supra</w:t>
      </w:r>
      <w:r w:rsidRPr="0052255D" w:rsidR="00321E9C">
        <w:t>, 34</w:t>
      </w:r>
      <w:r w:rsidRPr="0052255D" w:rsidR="00E9019B">
        <w:t> </w:t>
      </w:r>
      <w:r w:rsidRPr="0052255D" w:rsidR="00321E9C">
        <w:t xml:space="preserve">Cal.4th at p. </w:t>
      </w:r>
      <w:r w:rsidRPr="0052255D" w:rsidR="005819D5">
        <w:t>853</w:t>
      </w:r>
      <w:r w:rsidRPr="0052255D" w:rsidR="00974CBC">
        <w:t xml:space="preserve"> [sufficient evidence of lying in wait whe</w:t>
      </w:r>
      <w:r w:rsidRPr="0052255D" w:rsidR="00D14D71">
        <w:t>n</w:t>
      </w:r>
      <w:r w:rsidRPr="0052255D" w:rsidR="00974CBC">
        <w:t xml:space="preserve"> the defendant </w:t>
      </w:r>
      <w:r w:rsidRPr="0052255D" w:rsidR="005E6FAD">
        <w:t xml:space="preserve">devised a ruse about needing a ride to a campsite, </w:t>
      </w:r>
      <w:r w:rsidRPr="0052255D" w:rsidR="00974CBC">
        <w:t xml:space="preserve">sat behind the victim in </w:t>
      </w:r>
      <w:r w:rsidRPr="0052255D" w:rsidR="005E6FAD">
        <w:t xml:space="preserve">the </w:t>
      </w:r>
      <w:r w:rsidRPr="0052255D" w:rsidR="00974CBC">
        <w:t xml:space="preserve">car, waited until </w:t>
      </w:r>
      <w:r w:rsidRPr="0052255D" w:rsidR="005E6FAD">
        <w:t xml:space="preserve">the </w:t>
      </w:r>
      <w:r w:rsidRPr="0052255D" w:rsidR="00974CBC">
        <w:t xml:space="preserve">car was in </w:t>
      </w:r>
      <w:r w:rsidRPr="0052255D" w:rsidR="005E6FAD">
        <w:t xml:space="preserve">a </w:t>
      </w:r>
      <w:r w:rsidRPr="0052255D" w:rsidR="00974CBC">
        <w:t>more deserted location</w:t>
      </w:r>
      <w:r w:rsidRPr="0052255D" w:rsidR="005E6FAD">
        <w:t>, and then strangled her]</w:t>
      </w:r>
      <w:r w:rsidRPr="0052255D" w:rsidR="005819D5">
        <w:t xml:space="preserve">.)  </w:t>
      </w:r>
    </w:p>
    <w:p w:rsidR="000B6247" w:rsidRPr="0052255D" w:rsidP="0052255D">
      <w:pPr>
        <w:pStyle w:val="Heading3"/>
      </w:pPr>
      <w:bookmarkStart w:id="25" w:name="_Toc94515345"/>
      <w:r w:rsidRPr="0052255D">
        <w:t>10</w:t>
      </w:r>
      <w:r w:rsidRPr="0052255D">
        <w:t xml:space="preserve">. </w:t>
      </w:r>
      <w:r w:rsidRPr="0052255D" w:rsidR="00603538">
        <w:t xml:space="preserve"> Constitutionality of l</w:t>
      </w:r>
      <w:r w:rsidRPr="0052255D">
        <w:t>yin</w:t>
      </w:r>
      <w:r w:rsidRPr="0052255D" w:rsidR="006615BF">
        <w:t>g-</w:t>
      </w:r>
      <w:r w:rsidRPr="0052255D">
        <w:t>in</w:t>
      </w:r>
      <w:r w:rsidRPr="0052255D" w:rsidR="00B01D44">
        <w:t>-</w:t>
      </w:r>
      <w:r w:rsidRPr="0052255D" w:rsidR="0039038A">
        <w:t>w</w:t>
      </w:r>
      <w:r w:rsidRPr="0052255D">
        <w:t xml:space="preserve">ait </w:t>
      </w:r>
      <w:r w:rsidRPr="0052255D" w:rsidR="0039038A">
        <w:t>s</w:t>
      </w:r>
      <w:r w:rsidRPr="0052255D" w:rsidR="00E319C9">
        <w:t>pecial-</w:t>
      </w:r>
      <w:r w:rsidRPr="0052255D" w:rsidR="00392AA3">
        <w:t>c</w:t>
      </w:r>
      <w:r w:rsidRPr="0052255D" w:rsidR="00E319C9">
        <w:t xml:space="preserve">ircumstance </w:t>
      </w:r>
      <w:r w:rsidRPr="0052255D" w:rsidR="0039038A">
        <w:t>i</w:t>
      </w:r>
      <w:r w:rsidRPr="0052255D">
        <w:t>nstruction</w:t>
      </w:r>
      <w:r w:rsidRPr="0052255D" w:rsidR="0020095D">
        <w:t xml:space="preserve"> </w:t>
      </w:r>
      <w:bookmarkEnd w:id="25"/>
    </w:p>
    <w:p w:rsidR="000B6247" w:rsidRPr="0052255D" w:rsidP="0052255D">
      <w:pPr>
        <w:tabs>
          <w:tab w:val="left" w:pos="1440"/>
        </w:tabs>
        <w:ind w:firstLine="720"/>
      </w:pPr>
      <w:r w:rsidRPr="0052255D">
        <w:t xml:space="preserve">Defendant asserts </w:t>
      </w:r>
      <w:r w:rsidRPr="0052255D" w:rsidR="00867A0F">
        <w:t>the lying-in-wait special-circumstance instruction</w:t>
      </w:r>
      <w:r w:rsidRPr="0052255D" w:rsidR="001E2D9E">
        <w:t xml:space="preserve"> </w:t>
      </w:r>
      <w:r w:rsidRPr="0052255D" w:rsidR="008C48D0">
        <w:t>violated his constitutional rights to due process, to a fundamentally fair trial, and to a reliable verdict and penalty determination.  (U.S. Const.</w:t>
      </w:r>
      <w:r w:rsidRPr="0052255D" w:rsidR="00F953E0">
        <w:t>,</w:t>
      </w:r>
      <w:r w:rsidRPr="0052255D" w:rsidR="008C48D0">
        <w:t xml:space="preserve"> 5th, 6th, 8th &amp; 14th Amends.; Cal. Const.</w:t>
      </w:r>
      <w:r w:rsidRPr="0052255D" w:rsidR="00ED7B97">
        <w:t>,</w:t>
      </w:r>
      <w:r w:rsidRPr="0052255D" w:rsidR="008C48D0">
        <w:t xml:space="preserve"> art. I, §§ 7</w:t>
      </w:r>
      <w:r w:rsidR="00252E5A">
        <w:t>,</w:t>
      </w:r>
      <w:r w:rsidRPr="0052255D" w:rsidR="008C48D0">
        <w:t xml:space="preserve"> 15.) </w:t>
      </w:r>
      <w:r w:rsidRPr="0052255D" w:rsidR="001E2D9E">
        <w:t xml:space="preserve"> </w:t>
      </w:r>
      <w:r w:rsidRPr="0052255D" w:rsidR="006B3C36">
        <w:t xml:space="preserve">Specifically, defendant argues that CALJIC No. 8.81.15 is </w:t>
      </w:r>
      <w:r w:rsidRPr="0052255D" w:rsidR="00ED7B97">
        <w:t>uncons</w:t>
      </w:r>
      <w:r w:rsidRPr="0052255D" w:rsidR="001017C9">
        <w:t>titutional</w:t>
      </w:r>
      <w:r w:rsidRPr="0052255D" w:rsidR="001E2D9E">
        <w:t xml:space="preserve"> </w:t>
      </w:r>
      <w:r w:rsidRPr="0052255D" w:rsidR="00C370BC">
        <w:t xml:space="preserve">because it </w:t>
      </w:r>
      <w:r w:rsidRPr="0052255D" w:rsidR="008F165C">
        <w:t>d</w:t>
      </w:r>
      <w:r w:rsidRPr="0052255D" w:rsidR="006B3C36">
        <w:t>oes</w:t>
      </w:r>
      <w:r w:rsidRPr="0052255D" w:rsidR="005C2D9A">
        <w:t xml:space="preserve"> </w:t>
      </w:r>
      <w:r w:rsidRPr="0052255D" w:rsidR="008F165C">
        <w:t xml:space="preserve">not </w:t>
      </w:r>
      <w:r w:rsidRPr="0052255D" w:rsidR="00534B62">
        <w:t xml:space="preserve">distinguish </w:t>
      </w:r>
      <w:r w:rsidRPr="0052255D" w:rsidR="001D1481">
        <w:t>lying-in-wait murder from premedi</w:t>
      </w:r>
      <w:r w:rsidRPr="0052255D" w:rsidR="00811098">
        <w:t>t</w:t>
      </w:r>
      <w:r w:rsidRPr="0052255D" w:rsidR="001D1481">
        <w:t>ated and deliberate murder</w:t>
      </w:r>
      <w:r w:rsidRPr="0052255D" w:rsidR="005C2D9A">
        <w:t>,</w:t>
      </w:r>
      <w:r w:rsidRPr="0052255D" w:rsidR="001D1481">
        <w:t xml:space="preserve"> and </w:t>
      </w:r>
      <w:r w:rsidRPr="0052255D" w:rsidR="008C48D0">
        <w:t xml:space="preserve">because </w:t>
      </w:r>
      <w:r w:rsidRPr="0052255D" w:rsidR="005C2D9A">
        <w:t xml:space="preserve">the instruction </w:t>
      </w:r>
      <w:r w:rsidRPr="0052255D" w:rsidR="006B3C36">
        <w:t xml:space="preserve">does </w:t>
      </w:r>
      <w:r w:rsidRPr="0052255D" w:rsidR="005C2D9A">
        <w:t xml:space="preserve">not </w:t>
      </w:r>
      <w:r w:rsidRPr="0052255D" w:rsidR="008F165C">
        <w:t>require a substantial period</w:t>
      </w:r>
      <w:r w:rsidRPr="0052255D" w:rsidR="004507F2">
        <w:t xml:space="preserve"> </w:t>
      </w:r>
      <w:r w:rsidRPr="0052255D" w:rsidR="00601AF2">
        <w:t xml:space="preserve">of watchful waiting or require that the concealed </w:t>
      </w:r>
      <w:r w:rsidRPr="0052255D" w:rsidR="00D95BAD">
        <w:t xml:space="preserve">purpose </w:t>
      </w:r>
      <w:r w:rsidRPr="0052255D" w:rsidR="00601AF2">
        <w:t>must be a deadly one.</w:t>
      </w:r>
      <w:r w:rsidRPr="0052255D" w:rsidR="009C5721">
        <w:t xml:space="preserve">  We have previously rejected these challenges</w:t>
      </w:r>
      <w:r w:rsidRPr="0052255D" w:rsidR="00DF0910">
        <w:t xml:space="preserve">.  </w:t>
      </w:r>
      <w:r w:rsidRPr="0052255D" w:rsidR="00136201">
        <w:t>(</w:t>
      </w:r>
      <w:r w:rsidRPr="0052255D" w:rsidR="00715419">
        <w:rPr>
          <w:i/>
        </w:rPr>
        <w:t>People v. Cage</w:t>
      </w:r>
      <w:r w:rsidRPr="0052255D" w:rsidR="00715419">
        <w:t xml:space="preserve"> (2015) 62 Cal.4th 256</w:t>
      </w:r>
      <w:r w:rsidRPr="0052255D" w:rsidR="000B4315">
        <w:t>, 281</w:t>
      </w:r>
      <w:r w:rsidRPr="0052255D" w:rsidR="00715419">
        <w:t xml:space="preserve"> (</w:t>
      </w:r>
      <w:r w:rsidRPr="0052255D" w:rsidR="00715419">
        <w:rPr>
          <w:i/>
          <w:iCs/>
        </w:rPr>
        <w:t>Cage</w:t>
      </w:r>
      <w:r w:rsidRPr="0052255D" w:rsidR="00715419">
        <w:t>)</w:t>
      </w:r>
      <w:r w:rsidRPr="0052255D" w:rsidR="00825C8E">
        <w:t xml:space="preserve"> [</w:t>
      </w:r>
      <w:r w:rsidRPr="0052255D" w:rsidR="000B4315">
        <w:t>“</w:t>
      </w:r>
      <w:r w:rsidRPr="0052255D" w:rsidR="00956B18">
        <w:t>As we have held before, the special circumstance of lying in wait instruction is constitutional</w:t>
      </w:r>
      <w:r w:rsidRPr="0052255D" w:rsidR="000B4315">
        <w:t>”</w:t>
      </w:r>
      <w:r w:rsidRPr="0052255D" w:rsidR="00825C8E">
        <w:t>]</w:t>
      </w:r>
      <w:r w:rsidRPr="0052255D" w:rsidR="00715419">
        <w:t xml:space="preserve">; </w:t>
      </w:r>
      <w:r w:rsidRPr="0052255D" w:rsidR="00014F25">
        <w:rPr>
          <w:i/>
          <w:iCs/>
        </w:rPr>
        <w:t>Streeter</w:t>
      </w:r>
      <w:r w:rsidRPr="0052255D" w:rsidR="00FE1982">
        <w:t xml:space="preserve">, </w:t>
      </w:r>
      <w:r w:rsidRPr="0052255D" w:rsidR="00FE1982">
        <w:rPr>
          <w:i/>
          <w:iCs/>
        </w:rPr>
        <w:t>supra</w:t>
      </w:r>
      <w:r w:rsidRPr="0052255D" w:rsidR="00FE1982">
        <w:t>,</w:t>
      </w:r>
      <w:r w:rsidRPr="0052255D" w:rsidR="00014F25">
        <w:rPr>
          <w:i/>
          <w:iCs/>
        </w:rPr>
        <w:t xml:space="preserve"> </w:t>
      </w:r>
      <w:r w:rsidRPr="0052255D" w:rsidR="00014F25">
        <w:t>54</w:t>
      </w:r>
      <w:r w:rsidR="00C44E18">
        <w:t> </w:t>
      </w:r>
      <w:r w:rsidRPr="0052255D" w:rsidR="00014F25">
        <w:t xml:space="preserve">Cal.4th </w:t>
      </w:r>
      <w:r w:rsidRPr="0052255D" w:rsidR="00FE1982">
        <w:t>at pp.</w:t>
      </w:r>
      <w:r w:rsidRPr="0052255D" w:rsidR="00014F25">
        <w:t xml:space="preserve"> 2</w:t>
      </w:r>
      <w:r w:rsidRPr="0052255D" w:rsidR="00901F00">
        <w:t>51–252</w:t>
      </w:r>
      <w:r w:rsidRPr="0052255D" w:rsidR="00825C8E">
        <w:t xml:space="preserve"> [same]</w:t>
      </w:r>
      <w:r w:rsidRPr="0052255D" w:rsidR="00901F00">
        <w:t xml:space="preserve">; </w:t>
      </w:r>
      <w:r w:rsidRPr="0052255D" w:rsidR="00136201">
        <w:rPr>
          <w:i/>
          <w:iCs/>
        </w:rPr>
        <w:t xml:space="preserve">People v. Bonilla </w:t>
      </w:r>
      <w:r w:rsidRPr="0052255D" w:rsidR="00136201">
        <w:t>(2007) 41</w:t>
      </w:r>
      <w:r w:rsidRPr="0052255D" w:rsidR="00E9019B">
        <w:t> </w:t>
      </w:r>
      <w:r w:rsidRPr="0052255D" w:rsidR="00136201">
        <w:t xml:space="preserve">Cal.4th 313, </w:t>
      </w:r>
      <w:r w:rsidRPr="0052255D" w:rsidR="004B2E78">
        <w:t>332–</w:t>
      </w:r>
      <w:r w:rsidRPr="0052255D" w:rsidR="00136201">
        <w:t>333</w:t>
      </w:r>
      <w:r w:rsidRPr="0052255D" w:rsidR="00825C8E">
        <w:t xml:space="preserve"> [same]</w:t>
      </w:r>
      <w:r w:rsidRPr="0052255D" w:rsidR="00136201">
        <w:t>.)</w:t>
      </w:r>
      <w:r w:rsidRPr="0052255D" w:rsidR="00E226A9">
        <w:t xml:space="preserve">  </w:t>
      </w:r>
      <w:r w:rsidRPr="0052255D" w:rsidR="000B018F">
        <w:t>We</w:t>
      </w:r>
      <w:r w:rsidRPr="0052255D" w:rsidR="00662B84">
        <w:t xml:space="preserve"> find no persuasive reason to deviate from our prior decisions in the present case.  </w:t>
      </w:r>
      <w:r w:rsidRPr="0052255D" w:rsidR="00DF0910">
        <w:t xml:space="preserve"> </w:t>
      </w:r>
      <w:r w:rsidRPr="0052255D" w:rsidR="00601AF2">
        <w:t xml:space="preserve">  </w:t>
      </w:r>
      <w:r w:rsidRPr="0052255D" w:rsidR="00867A0F">
        <w:t xml:space="preserve"> </w:t>
      </w:r>
    </w:p>
    <w:p w:rsidR="000B6247" w:rsidRPr="0052255D" w:rsidP="0052255D">
      <w:pPr>
        <w:pStyle w:val="Heading3"/>
      </w:pPr>
      <w:bookmarkStart w:id="26" w:name="_Toc94515346"/>
      <w:r w:rsidRPr="0052255D">
        <w:t>11</w:t>
      </w:r>
      <w:r w:rsidRPr="0052255D">
        <w:t xml:space="preserve">.  </w:t>
      </w:r>
      <w:r w:rsidRPr="0052255D" w:rsidR="00F21C70">
        <w:t xml:space="preserve">Constitutionality of </w:t>
      </w:r>
      <w:r w:rsidRPr="0052255D" w:rsidR="0039038A">
        <w:t>l</w:t>
      </w:r>
      <w:r w:rsidRPr="0052255D" w:rsidR="00F21C70">
        <w:t>ying-in-</w:t>
      </w:r>
      <w:r w:rsidRPr="0052255D" w:rsidR="0039038A">
        <w:t>w</w:t>
      </w:r>
      <w:r w:rsidRPr="0052255D" w:rsidR="00F21C70">
        <w:t>ait</w:t>
      </w:r>
      <w:r w:rsidRPr="0052255D">
        <w:t xml:space="preserve"> </w:t>
      </w:r>
      <w:r w:rsidRPr="0052255D" w:rsidR="0039038A">
        <w:t>s</w:t>
      </w:r>
      <w:r w:rsidRPr="0052255D">
        <w:t xml:space="preserve">pecial </w:t>
      </w:r>
      <w:r w:rsidRPr="0052255D" w:rsidR="0039038A">
        <w:t>c</w:t>
      </w:r>
      <w:r w:rsidRPr="0052255D">
        <w:t xml:space="preserve">ircumstance </w:t>
      </w:r>
      <w:bookmarkEnd w:id="26"/>
    </w:p>
    <w:p w:rsidR="000B6247" w:rsidRPr="0052255D" w:rsidP="0052255D">
      <w:pPr>
        <w:tabs>
          <w:tab w:val="left" w:pos="1440"/>
        </w:tabs>
        <w:ind w:firstLine="720"/>
      </w:pPr>
      <w:r w:rsidRPr="0052255D">
        <w:t xml:space="preserve">Defendant </w:t>
      </w:r>
      <w:r w:rsidRPr="0052255D" w:rsidR="00392AA3">
        <w:t xml:space="preserve">further </w:t>
      </w:r>
      <w:r w:rsidRPr="0052255D">
        <w:t>contends the lying-in-wait special circumstance</w:t>
      </w:r>
      <w:r w:rsidRPr="0052255D" w:rsidR="00434B9D">
        <w:t xml:space="preserve"> </w:t>
      </w:r>
      <w:r w:rsidRPr="0052255D" w:rsidR="00603538">
        <w:t xml:space="preserve">itself </w:t>
      </w:r>
      <w:r w:rsidRPr="0052255D" w:rsidR="006D2297">
        <w:t xml:space="preserve">is unconstitutional because it fails to adequately narrow the class of persons eligible for the death penalty. </w:t>
      </w:r>
      <w:r w:rsidRPr="0052255D" w:rsidR="00434B9D">
        <w:t xml:space="preserve"> </w:t>
      </w:r>
      <w:r w:rsidRPr="0052255D" w:rsidR="008F2920">
        <w:t xml:space="preserve">We have </w:t>
      </w:r>
      <w:r w:rsidRPr="0052255D" w:rsidR="00474218">
        <w:t>repeatedly</w:t>
      </w:r>
      <w:r w:rsidRPr="0052255D" w:rsidR="00432056">
        <w:t xml:space="preserve"> </w:t>
      </w:r>
      <w:r w:rsidRPr="0052255D" w:rsidR="008F2920">
        <w:t>rejected these claims</w:t>
      </w:r>
      <w:r w:rsidRPr="0052255D" w:rsidR="00A50DF3">
        <w:t xml:space="preserve"> (s</w:t>
      </w:r>
      <w:r w:rsidRPr="0052255D" w:rsidR="008F2920">
        <w:t xml:space="preserve">ee, e.g., </w:t>
      </w:r>
      <w:bookmarkStart w:id="27" w:name="_Hlk18763194"/>
      <w:r w:rsidRPr="0052255D" w:rsidR="00474218">
        <w:rPr>
          <w:i/>
          <w:iCs/>
        </w:rPr>
        <w:t xml:space="preserve">People v. Delgado </w:t>
      </w:r>
      <w:r w:rsidRPr="0052255D" w:rsidR="00474218">
        <w:t>(201</w:t>
      </w:r>
      <w:r w:rsidRPr="0052255D" w:rsidR="00590F4D">
        <w:t>7) 2 Cal.5th 544, 576 (</w:t>
      </w:r>
      <w:r w:rsidRPr="0052255D" w:rsidR="00590F4D">
        <w:rPr>
          <w:i/>
          <w:iCs/>
        </w:rPr>
        <w:t>Delgado</w:t>
      </w:r>
      <w:r w:rsidRPr="0052255D" w:rsidR="00590F4D">
        <w:t>)</w:t>
      </w:r>
      <w:r w:rsidRPr="0052255D" w:rsidR="00FD537D">
        <w:t xml:space="preserve"> [lying-in-wait special circumstance does not apply to all murders and is not constitutionally infirm]</w:t>
      </w:r>
      <w:r w:rsidRPr="0052255D" w:rsidR="00590F4D">
        <w:t>;</w:t>
      </w:r>
      <w:r w:rsidRPr="0052255D" w:rsidR="00590F4D">
        <w:rPr>
          <w:i/>
          <w:iCs/>
          <w:color w:val="FF0000"/>
        </w:rPr>
        <w:t xml:space="preserve"> </w:t>
      </w:r>
      <w:r w:rsidRPr="0052255D" w:rsidR="008F2920">
        <w:rPr>
          <w:i/>
        </w:rPr>
        <w:t>Cage</w:t>
      </w:r>
      <w:r w:rsidRPr="0052255D" w:rsidR="00715419">
        <w:rPr>
          <w:iCs/>
        </w:rPr>
        <w:t xml:space="preserve">, </w:t>
      </w:r>
      <w:r w:rsidRPr="0052255D" w:rsidR="00715419">
        <w:rPr>
          <w:i/>
        </w:rPr>
        <w:t>supra</w:t>
      </w:r>
      <w:r w:rsidRPr="0052255D" w:rsidR="00715419">
        <w:rPr>
          <w:iCs/>
        </w:rPr>
        <w:t>,</w:t>
      </w:r>
      <w:r w:rsidRPr="0052255D" w:rsidR="008F2920">
        <w:t xml:space="preserve"> 62 Cal.4th </w:t>
      </w:r>
      <w:r w:rsidRPr="0052255D" w:rsidR="00715419">
        <w:t>at p.</w:t>
      </w:r>
      <w:r w:rsidR="00C44E18">
        <w:t> </w:t>
      </w:r>
      <w:r w:rsidRPr="0052255D" w:rsidR="008F2920">
        <w:t>281</w:t>
      </w:r>
      <w:r w:rsidRPr="0052255D" w:rsidR="0032603A">
        <w:t xml:space="preserve"> [same]</w:t>
      </w:r>
      <w:r w:rsidRPr="0052255D" w:rsidR="008F2920">
        <w:t xml:space="preserve">; </w:t>
      </w:r>
      <w:r w:rsidRPr="0052255D" w:rsidR="00DA103E">
        <w:rPr>
          <w:i/>
          <w:iCs/>
        </w:rPr>
        <w:t>Streeter</w:t>
      </w:r>
      <w:r w:rsidRPr="0052255D" w:rsidR="005722AE">
        <w:t xml:space="preserve">, </w:t>
      </w:r>
      <w:r w:rsidRPr="0052255D" w:rsidR="005722AE">
        <w:rPr>
          <w:i/>
          <w:iCs/>
        </w:rPr>
        <w:t>supra</w:t>
      </w:r>
      <w:r w:rsidRPr="0052255D" w:rsidR="005722AE">
        <w:t>,</w:t>
      </w:r>
      <w:r w:rsidRPr="0052255D" w:rsidR="00DA103E">
        <w:rPr>
          <w:i/>
          <w:iCs/>
        </w:rPr>
        <w:t xml:space="preserve"> </w:t>
      </w:r>
      <w:r w:rsidRPr="0052255D" w:rsidR="00584FA1">
        <w:t xml:space="preserve">54 Cal.4th </w:t>
      </w:r>
      <w:r w:rsidRPr="0052255D" w:rsidR="005722AE">
        <w:t>at pp.</w:t>
      </w:r>
      <w:r w:rsidRPr="0052255D" w:rsidR="00584FA1">
        <w:t xml:space="preserve"> 252–253</w:t>
      </w:r>
      <w:r w:rsidRPr="0052255D" w:rsidR="0032603A">
        <w:t xml:space="preserve"> [same</w:t>
      </w:r>
      <w:bookmarkEnd w:id="27"/>
      <w:r w:rsidRPr="0052255D" w:rsidR="0069315E">
        <w:t>]</w:t>
      </w:r>
      <w:r w:rsidRPr="0052255D" w:rsidR="00584FA1">
        <w:t xml:space="preserve">, and </w:t>
      </w:r>
      <w:r w:rsidRPr="0052255D" w:rsidR="004E4BB3">
        <w:t>we continue to do so here</w:t>
      </w:r>
      <w:r w:rsidRPr="0052255D" w:rsidR="000F1A6F">
        <w:t xml:space="preserve"> for the same reasons</w:t>
      </w:r>
      <w:r w:rsidRPr="0052255D" w:rsidR="004E4BB3">
        <w:t>.</w:t>
      </w:r>
    </w:p>
    <w:p w:rsidR="000B6247" w:rsidRPr="0052255D" w:rsidP="0052255D">
      <w:pPr>
        <w:pStyle w:val="Heading3"/>
      </w:pPr>
      <w:bookmarkStart w:id="28" w:name="_Toc94515347"/>
      <w:r w:rsidRPr="0052255D">
        <w:t>12</w:t>
      </w:r>
      <w:r w:rsidRPr="0052255D">
        <w:t xml:space="preserve">.  </w:t>
      </w:r>
      <w:r w:rsidRPr="0052255D" w:rsidR="000E39D2">
        <w:t xml:space="preserve">Cumulative </w:t>
      </w:r>
      <w:r w:rsidRPr="0052255D" w:rsidR="000D7075">
        <w:t>e</w:t>
      </w:r>
      <w:r w:rsidRPr="0052255D" w:rsidR="000E39D2">
        <w:t xml:space="preserve">ffect of </w:t>
      </w:r>
      <w:r w:rsidRPr="0052255D" w:rsidR="00AB0ABC">
        <w:t xml:space="preserve">asserted </w:t>
      </w:r>
      <w:r w:rsidRPr="0052255D" w:rsidR="000D7075">
        <w:t>g</w:t>
      </w:r>
      <w:r w:rsidRPr="0052255D" w:rsidR="000E39D2">
        <w:t xml:space="preserve">uilt </w:t>
      </w:r>
      <w:r w:rsidRPr="0052255D" w:rsidR="000D7075">
        <w:t>p</w:t>
      </w:r>
      <w:r w:rsidRPr="0052255D" w:rsidR="000E39D2">
        <w:t xml:space="preserve">hase </w:t>
      </w:r>
      <w:r w:rsidRPr="0052255D" w:rsidR="000D7075">
        <w:t>e</w:t>
      </w:r>
      <w:r w:rsidRPr="0052255D" w:rsidR="000E39D2">
        <w:t>rrors</w:t>
      </w:r>
      <w:r w:rsidRPr="0052255D" w:rsidR="0020095D">
        <w:t xml:space="preserve"> </w:t>
      </w:r>
      <w:bookmarkEnd w:id="28"/>
    </w:p>
    <w:p w:rsidR="00872064" w:rsidRPr="0052255D" w:rsidP="0052255D">
      <w:pPr>
        <w:tabs>
          <w:tab w:val="left" w:pos="1440"/>
        </w:tabs>
        <w:ind w:firstLine="720"/>
      </w:pPr>
      <w:r w:rsidRPr="0052255D">
        <w:t xml:space="preserve">Defendant contends his convictions should be reversed because the cumulative prejudice of the alleged errors during the guilt phase violated his due process right to a fundamentally fair and reliable trial under the California and federal Constitutions.  </w:t>
      </w:r>
      <w:r w:rsidRPr="0052255D" w:rsidR="006A0721">
        <w:t>We</w:t>
      </w:r>
      <w:r w:rsidRPr="0052255D">
        <w:t xml:space="preserve"> have </w:t>
      </w:r>
      <w:r w:rsidRPr="0052255D" w:rsidR="009522AA">
        <w:t xml:space="preserve">identified only one </w:t>
      </w:r>
      <w:r w:rsidRPr="0052255D">
        <w:t>error</w:t>
      </w:r>
      <w:r w:rsidRPr="0052255D" w:rsidR="00907664">
        <w:t xml:space="preserve"> </w:t>
      </w:r>
      <w:r w:rsidRPr="0052255D" w:rsidR="003356E9">
        <w:t>occurring in the guilt phase of defendant’s trial</w:t>
      </w:r>
      <w:r w:rsidR="00F100B7">
        <w:t> </w:t>
      </w:r>
      <w:r w:rsidRPr="0052255D" w:rsidR="00B9060F">
        <w:t>—</w:t>
      </w:r>
      <w:r w:rsidRPr="0052255D" w:rsidR="009522AA">
        <w:t xml:space="preserve"> </w:t>
      </w:r>
      <w:r w:rsidRPr="0052255D" w:rsidR="009C5348">
        <w:t xml:space="preserve">the trial court’s failure to </w:t>
      </w:r>
      <w:r w:rsidR="00C46D74">
        <w:t xml:space="preserve">provide </w:t>
      </w:r>
      <w:r w:rsidRPr="0052255D" w:rsidR="003A2149">
        <w:t>the jury with the cautionary instruction defining confessions</w:t>
      </w:r>
      <w:r w:rsidR="00F100B7">
        <w:t> </w:t>
      </w:r>
      <w:r w:rsidRPr="0052255D" w:rsidR="00B9060F">
        <w:t>—</w:t>
      </w:r>
      <w:r w:rsidRPr="0052255D" w:rsidR="009C5348">
        <w:t xml:space="preserve"> </w:t>
      </w:r>
      <w:r w:rsidRPr="0052255D" w:rsidR="009522AA">
        <w:t>and have found it harmless</w:t>
      </w:r>
      <w:r w:rsidRPr="0052255D" w:rsidR="00844763">
        <w:t>.  There is no other error to accumulate.</w:t>
      </w:r>
      <w:r w:rsidRPr="0052255D" w:rsidR="001D66EA">
        <w:t xml:space="preserve"> </w:t>
      </w:r>
      <w:r w:rsidRPr="0052255D">
        <w:t xml:space="preserve">  </w:t>
      </w:r>
    </w:p>
    <w:p w:rsidR="005E0CA1" w:rsidRPr="0052255D" w:rsidP="0052255D">
      <w:pPr>
        <w:pStyle w:val="Heading2"/>
      </w:pPr>
      <w:bookmarkStart w:id="29" w:name="_Toc94515348"/>
      <w:r w:rsidRPr="0052255D">
        <w:t>B</w:t>
      </w:r>
      <w:r w:rsidRPr="0052255D" w:rsidR="00E46F8E">
        <w:t xml:space="preserve">.  </w:t>
      </w:r>
      <w:r w:rsidRPr="0052255D">
        <w:t xml:space="preserve">Penalty Phase </w:t>
      </w:r>
      <w:r w:rsidRPr="0052255D" w:rsidR="00535CD6">
        <w:t xml:space="preserve">and Sentencing </w:t>
      </w:r>
      <w:r w:rsidRPr="0052255D">
        <w:t>Issues</w:t>
      </w:r>
      <w:bookmarkEnd w:id="29"/>
    </w:p>
    <w:p w:rsidR="000B6247" w:rsidRPr="0052255D" w:rsidP="0052255D">
      <w:pPr>
        <w:pStyle w:val="Heading3"/>
      </w:pPr>
      <w:bookmarkStart w:id="30" w:name="_Toc94515349"/>
      <w:r w:rsidRPr="0052255D">
        <w:t>1</w:t>
      </w:r>
      <w:r w:rsidRPr="0052255D">
        <w:t xml:space="preserve">.  </w:t>
      </w:r>
      <w:r w:rsidRPr="0052255D" w:rsidR="00046920">
        <w:t>R</w:t>
      </w:r>
      <w:r w:rsidRPr="0052255D">
        <w:t xml:space="preserve">efusal to </w:t>
      </w:r>
      <w:r w:rsidRPr="0052255D">
        <w:t>a</w:t>
      </w:r>
      <w:r w:rsidRPr="0052255D" w:rsidR="00CD0C0C">
        <w:t xml:space="preserve">llow Towne </w:t>
      </w:r>
      <w:r w:rsidRPr="0052255D" w:rsidR="004F0AC2">
        <w:t xml:space="preserve">to </w:t>
      </w:r>
      <w:r w:rsidRPr="0052255D">
        <w:t>t</w:t>
      </w:r>
      <w:r w:rsidRPr="0052255D" w:rsidR="004F0AC2">
        <w:t xml:space="preserve">estify at </w:t>
      </w:r>
      <w:r w:rsidRPr="0052255D" w:rsidR="00B9060F">
        <w:t xml:space="preserve">the </w:t>
      </w:r>
      <w:r w:rsidRPr="0052255D">
        <w:t>p</w:t>
      </w:r>
      <w:r w:rsidRPr="0052255D" w:rsidR="004F0AC2">
        <w:t xml:space="preserve">enalty </w:t>
      </w:r>
      <w:r w:rsidRPr="0052255D">
        <w:t>p</w:t>
      </w:r>
      <w:r w:rsidRPr="0052255D" w:rsidR="004F0AC2">
        <w:t>hase</w:t>
      </w:r>
      <w:r w:rsidRPr="0052255D" w:rsidR="0020095D">
        <w:t xml:space="preserve"> </w:t>
      </w:r>
      <w:bookmarkEnd w:id="30"/>
    </w:p>
    <w:p w:rsidR="000B6247" w:rsidRPr="0052255D" w:rsidP="0052255D">
      <w:pPr>
        <w:tabs>
          <w:tab w:val="left" w:pos="1440"/>
        </w:tabs>
        <w:ind w:firstLine="720"/>
      </w:pPr>
      <w:r w:rsidRPr="0052255D">
        <w:t xml:space="preserve">Defendant contends the trial court </w:t>
      </w:r>
      <w:r w:rsidRPr="0052255D" w:rsidR="00B3202B">
        <w:t xml:space="preserve">erred </w:t>
      </w:r>
      <w:r w:rsidRPr="0052255D" w:rsidR="0058013A">
        <w:t>when it</w:t>
      </w:r>
      <w:r w:rsidRPr="0052255D" w:rsidR="00636171">
        <w:t xml:space="preserve"> </w:t>
      </w:r>
      <w:r w:rsidRPr="0052255D" w:rsidR="00FE1982">
        <w:t>prohibited</w:t>
      </w:r>
      <w:r w:rsidRPr="0052255D" w:rsidR="00636171">
        <w:t xml:space="preserve"> the defense </w:t>
      </w:r>
      <w:r w:rsidRPr="0052255D" w:rsidR="004C3366">
        <w:t>from calling</w:t>
      </w:r>
      <w:r w:rsidRPr="0052255D" w:rsidR="00636171">
        <w:t xml:space="preserve"> Towne as a witness during the penalty phase</w:t>
      </w:r>
      <w:r w:rsidRPr="0052255D" w:rsidR="00B3202B">
        <w:t xml:space="preserve">, resulting in a violation of his federal and state constitutional rights to due process, to </w:t>
      </w:r>
      <w:r w:rsidRPr="0052255D" w:rsidR="00943DF4">
        <w:t>a penalty determination based on all available mitigating evidence</w:t>
      </w:r>
      <w:r w:rsidRPr="0052255D" w:rsidR="00B3202B">
        <w:t>, and to a fair and reliable determination of penalty</w:t>
      </w:r>
      <w:r w:rsidRPr="0052255D" w:rsidR="009C1FC1">
        <w:t xml:space="preserve">.  </w:t>
      </w:r>
      <w:r w:rsidRPr="0052255D" w:rsidR="006A0721">
        <w:t>W</w:t>
      </w:r>
      <w:r w:rsidRPr="0052255D" w:rsidR="00BA3F80">
        <w:t xml:space="preserve">e </w:t>
      </w:r>
      <w:r w:rsidRPr="0052255D" w:rsidR="00F166E3">
        <w:t xml:space="preserve">agree that the </w:t>
      </w:r>
      <w:r w:rsidRPr="0052255D" w:rsidR="00472E00">
        <w:t>exclusion of Towne’s testimony at the penalty phase</w:t>
      </w:r>
      <w:r w:rsidRPr="0052255D" w:rsidR="005C32BF">
        <w:t xml:space="preserve"> was </w:t>
      </w:r>
      <w:r w:rsidR="00A61B58">
        <w:t xml:space="preserve">state law </w:t>
      </w:r>
      <w:r w:rsidRPr="0052255D" w:rsidR="005C32BF">
        <w:t>erro</w:t>
      </w:r>
      <w:r w:rsidR="00A61B58">
        <w:t>r</w:t>
      </w:r>
      <w:r w:rsidRPr="0052255D" w:rsidR="005C32BF">
        <w:t>, but find the error</w:t>
      </w:r>
      <w:r w:rsidRPr="0052255D" w:rsidR="00472E00">
        <w:t xml:space="preserve"> </w:t>
      </w:r>
      <w:r w:rsidRPr="0052255D" w:rsidR="00BA3F80">
        <w:t>harmless</w:t>
      </w:r>
      <w:r w:rsidRPr="0052255D" w:rsidR="007C76C8">
        <w:t xml:space="preserve"> </w:t>
      </w:r>
      <w:r w:rsidRPr="0052255D" w:rsidR="00B42602">
        <w:t xml:space="preserve">beyond a reasonable doubt </w:t>
      </w:r>
      <w:r w:rsidRPr="0052255D" w:rsidR="007C76C8">
        <w:t xml:space="preserve">because </w:t>
      </w:r>
      <w:r w:rsidRPr="0052255D" w:rsidR="005C32BF">
        <w:t xml:space="preserve">there was </w:t>
      </w:r>
      <w:r w:rsidRPr="0052255D" w:rsidR="007C76C8">
        <w:t xml:space="preserve">no reasonable </w:t>
      </w:r>
      <w:r w:rsidRPr="0052255D" w:rsidR="005F5899">
        <w:t>possibility that it affected the penalty</w:t>
      </w:r>
      <w:r w:rsidRPr="0052255D" w:rsidR="007C76C8">
        <w:t xml:space="preserve"> </w:t>
      </w:r>
      <w:r w:rsidRPr="0052255D" w:rsidR="00EA3C92">
        <w:t>verdict</w:t>
      </w:r>
      <w:r w:rsidRPr="0052255D" w:rsidR="009C1FC1">
        <w:t>.</w:t>
      </w:r>
    </w:p>
    <w:p w:rsidR="00806291" w:rsidRPr="0052255D" w:rsidP="0052255D">
      <w:pPr>
        <w:tabs>
          <w:tab w:val="left" w:pos="1440"/>
        </w:tabs>
        <w:ind w:firstLine="720"/>
      </w:pPr>
      <w:r w:rsidRPr="0052255D">
        <w:t>As noted</w:t>
      </w:r>
      <w:r w:rsidRPr="0052255D" w:rsidR="00293F32">
        <w:t xml:space="preserve"> in connection with defendant’s argument concerning pretrial delay</w:t>
      </w:r>
      <w:r w:rsidRPr="0052255D">
        <w:t>, the defense intended to call Towne to testify at the guilt phase of defendant’s trial, but their efforts to locate him were unsuccessful.</w:t>
      </w:r>
      <w:r>
        <w:rPr>
          <w:rStyle w:val="FootnoteReference"/>
        </w:rPr>
        <w:footnoteReference w:id="10"/>
      </w:r>
      <w:r w:rsidRPr="0052255D">
        <w:t xml:space="preserve">  </w:t>
      </w:r>
      <w:r w:rsidRPr="0052255D" w:rsidR="00FD7042">
        <w:t xml:space="preserve">Following the guilt phase verdicts, </w:t>
      </w:r>
      <w:r w:rsidRPr="0052255D" w:rsidR="00F0170F">
        <w:t xml:space="preserve">however, </w:t>
      </w:r>
      <w:r w:rsidRPr="0052255D" w:rsidR="00FD7042">
        <w:t xml:space="preserve">the defense </w:t>
      </w:r>
      <w:r w:rsidRPr="0052255D" w:rsidR="00FE1982">
        <w:t xml:space="preserve">successfully contacted </w:t>
      </w:r>
      <w:r w:rsidRPr="0052255D" w:rsidR="00FD7042">
        <w:t>Towne</w:t>
      </w:r>
      <w:r w:rsidRPr="0052255D" w:rsidR="00B567C5">
        <w:t xml:space="preserve">.  The defense </w:t>
      </w:r>
      <w:r w:rsidRPr="0052255D" w:rsidR="000B2520">
        <w:t xml:space="preserve">sought to </w:t>
      </w:r>
      <w:r w:rsidRPr="0052255D" w:rsidR="00293F32">
        <w:t xml:space="preserve">have </w:t>
      </w:r>
      <w:r w:rsidRPr="0052255D" w:rsidR="00B567C5">
        <w:t>Towne testify at the penalty phase</w:t>
      </w:r>
      <w:r w:rsidRPr="0052255D" w:rsidR="00293F32">
        <w:t xml:space="preserve"> </w:t>
      </w:r>
      <w:r w:rsidRPr="0052255D" w:rsidR="00B567C5">
        <w:t>regarding his observations of</w:t>
      </w:r>
      <w:r w:rsidRPr="0052255D" w:rsidR="000B2520">
        <w:t xml:space="preserve"> the shooter</w:t>
      </w:r>
      <w:r w:rsidRPr="0052255D" w:rsidR="00B567C5">
        <w:t>, under the theory that this evidence could go to</w:t>
      </w:r>
      <w:r w:rsidRPr="0052255D" w:rsidR="00293F32">
        <w:t xml:space="preserve"> </w:t>
      </w:r>
      <w:r w:rsidRPr="0052255D" w:rsidR="000B2520">
        <w:t xml:space="preserve">lingering doubt.  </w:t>
      </w:r>
      <w:r w:rsidRPr="0052255D" w:rsidR="00164B3D">
        <w:t xml:space="preserve">When the court asked what Towne would be testifying to, recalling that perhaps he would say the shooter was short, defense counsel answered:  “Well, not so much short but he was medium build.  His testimony is pretty consistent with Fowler’s testimony so it would be duplicating pretty much what Fowler said.  And then I have Officer [Bowers] . . . available to testify in case there might be a discrepancy.  I don’t have the police report with me right now, but I’m certain that he would be in a position to say the shooter was not a 300-pound Samoan.”  </w:t>
      </w:r>
    </w:p>
    <w:p w:rsidR="009C1FC1" w:rsidRPr="0052255D" w:rsidP="0052255D">
      <w:pPr>
        <w:tabs>
          <w:tab w:val="left" w:pos="1440"/>
        </w:tabs>
        <w:ind w:firstLine="720"/>
      </w:pPr>
      <w:r w:rsidRPr="0052255D">
        <w:t xml:space="preserve">The prosecution argued that Towne’s testimony was inadmissible </w:t>
      </w:r>
      <w:r w:rsidRPr="0052255D" w:rsidR="00DD4B0F">
        <w:t xml:space="preserve">at </w:t>
      </w:r>
      <w:r w:rsidRPr="0052255D">
        <w:t xml:space="preserve">the penalty phase because it </w:t>
      </w:r>
      <w:r w:rsidRPr="0052255D" w:rsidR="006E04E7">
        <w:t>was mere</w:t>
      </w:r>
      <w:r w:rsidRPr="0052255D" w:rsidR="00A54E65">
        <w:t>l</w:t>
      </w:r>
      <w:r w:rsidRPr="0052255D" w:rsidR="006E04E7">
        <w:t xml:space="preserve">y an attempt to relitigate the issue of defendant’s guilt.  </w:t>
      </w:r>
      <w:r w:rsidRPr="0052255D" w:rsidR="00A54E65">
        <w:t xml:space="preserve">The trial court ruled that Towne’s testimony constituted new evidence </w:t>
      </w:r>
      <w:r w:rsidR="00141289">
        <w:t xml:space="preserve">regarding </w:t>
      </w:r>
      <w:r w:rsidRPr="0052255D" w:rsidR="00A54E65">
        <w:t xml:space="preserve">the issue of guilt and excluded it on that basis.  </w:t>
      </w:r>
      <w:r w:rsidRPr="0052255D" w:rsidR="00AE569B">
        <w:t xml:space="preserve">Defendant raised the issue again in his motion for new trial, which </w:t>
      </w:r>
      <w:r w:rsidRPr="0052255D" w:rsidR="00317C8A">
        <w:t>the court</w:t>
      </w:r>
      <w:r w:rsidRPr="0052255D" w:rsidR="00434DCD">
        <w:t xml:space="preserve"> denied.</w:t>
      </w:r>
      <w:r>
        <w:rPr>
          <w:rStyle w:val="FootnoteReference"/>
        </w:rPr>
        <w:footnoteReference w:id="11"/>
      </w:r>
      <w:r w:rsidRPr="0052255D" w:rsidR="00434DCD">
        <w:t xml:space="preserve">  </w:t>
      </w:r>
    </w:p>
    <w:p w:rsidR="00C775E9" w:rsidRPr="0052255D" w:rsidP="0052255D">
      <w:pPr>
        <w:tabs>
          <w:tab w:val="left" w:pos="1440"/>
        </w:tabs>
        <w:ind w:firstLine="720"/>
      </w:pPr>
      <w:r w:rsidRPr="00AB64BE">
        <w:t>“[A] capital defendant has no federal constitutional right to have the jury consider lingering doubt in choosing the appropriate penalty</w:t>
      </w:r>
      <w:r w:rsidR="00D13841">
        <w:t> . . . .</w:t>
      </w:r>
      <w:r w:rsidRPr="00AB64BE">
        <w:t>”  (</w:t>
      </w:r>
      <w:r w:rsidRPr="0095729A">
        <w:rPr>
          <w:i/>
          <w:iCs/>
        </w:rPr>
        <w:t>People v. Hamilton</w:t>
      </w:r>
      <w:r w:rsidRPr="00AB64BE">
        <w:t xml:space="preserve"> (2009) 45 Cal.4th 863, 91</w:t>
      </w:r>
      <w:r w:rsidR="0004666E">
        <w:t>1</w:t>
      </w:r>
      <w:r w:rsidRPr="00AB64BE">
        <w:t xml:space="preserve">; accord, </w:t>
      </w:r>
      <w:r w:rsidRPr="0095729A">
        <w:rPr>
          <w:i/>
          <w:iCs/>
        </w:rPr>
        <w:t>People v. Gay</w:t>
      </w:r>
      <w:r w:rsidRPr="00AB64BE">
        <w:t xml:space="preserve"> (2008) 42 Cal.4th 1195, 1220 (</w:t>
      </w:r>
      <w:r w:rsidRPr="0095729A">
        <w:rPr>
          <w:i/>
          <w:iCs/>
        </w:rPr>
        <w:t>Gay</w:t>
      </w:r>
      <w:r w:rsidRPr="00AB64BE">
        <w:t>).)  Admissibility of lingering doubt evidence is instead authorized by statute.  (</w:t>
      </w:r>
      <w:r w:rsidRPr="0095729A">
        <w:rPr>
          <w:i/>
          <w:iCs/>
        </w:rPr>
        <w:t>Gay</w:t>
      </w:r>
      <w:r w:rsidRPr="00AB64BE">
        <w:t xml:space="preserve">, at p. 1220.)  </w:t>
      </w:r>
      <w:r w:rsidRPr="0052255D" w:rsidR="001C5D9F">
        <w:t>Pursuant to section 190.3</w:t>
      </w:r>
      <w:r w:rsidRPr="0052255D" w:rsidR="00BA204D">
        <w:t>, “[i]n the proceedings on the question of penalty, evidence may be presented by both the people and the defendant as to any matter relevant to aggravation, mitigation, and sentence including, but not limited to, the nature and circumstances of the present offense</w:t>
      </w:r>
      <w:r w:rsidRPr="0052255D" w:rsidR="006C71D7">
        <w:t xml:space="preserve"> </w:t>
      </w:r>
      <w:r w:rsidRPr="0052255D" w:rsidR="00BA204D">
        <w:t>. . . .”</w:t>
      </w:r>
      <w:r w:rsidRPr="0052255D" w:rsidR="00727933">
        <w:t xml:space="preserve">  In determining the penalty, the trier of fact</w:t>
      </w:r>
      <w:r w:rsidRPr="0052255D" w:rsidR="0006353A">
        <w:t xml:space="preserve"> </w:t>
      </w:r>
      <w:r w:rsidRPr="0052255D" w:rsidR="00727933">
        <w:t xml:space="preserve">shall </w:t>
      </w:r>
      <w:r w:rsidRPr="0052255D" w:rsidR="009A6467">
        <w:t>consider</w:t>
      </w:r>
      <w:r w:rsidRPr="0052255D" w:rsidR="00727933">
        <w:t xml:space="preserve"> </w:t>
      </w:r>
      <w:r w:rsidRPr="0052255D" w:rsidR="0006353A">
        <w:t xml:space="preserve">“[t]he circumstances of the crime of which the defendant was convicted in the present proceeding and the existence of any special circumstances found to be true </w:t>
      </w:r>
      <w:r w:rsidRPr="0052255D" w:rsidR="00F05CC5">
        <w:t xml:space="preserve">pursuant to Section 190.1.”  (§ 190.3, factor (a).)  </w:t>
      </w:r>
    </w:p>
    <w:p w:rsidR="008150AA" w:rsidRPr="0052255D" w:rsidP="0052255D">
      <w:pPr>
        <w:tabs>
          <w:tab w:val="left" w:pos="1440"/>
        </w:tabs>
        <w:ind w:firstLine="720"/>
      </w:pPr>
      <w:r w:rsidRPr="0052255D">
        <w:t xml:space="preserve">In </w:t>
      </w:r>
      <w:r w:rsidRPr="0052255D" w:rsidR="00327C05">
        <w:rPr>
          <w:i/>
          <w:iCs/>
        </w:rPr>
        <w:t>People v. Terry</w:t>
      </w:r>
      <w:r w:rsidRPr="0052255D" w:rsidR="00327C05">
        <w:t xml:space="preserve"> (1964) 61 Cal.2d 137</w:t>
      </w:r>
      <w:r w:rsidRPr="0052255D" w:rsidR="00005861">
        <w:t xml:space="preserve">, </w:t>
      </w:r>
      <w:r w:rsidRPr="0052255D" w:rsidR="00C31CB5">
        <w:t>146</w:t>
      </w:r>
      <w:r w:rsidR="007C27D8">
        <w:t xml:space="preserve"> (</w:t>
      </w:r>
      <w:r w:rsidR="007C27D8">
        <w:rPr>
          <w:i/>
          <w:iCs/>
        </w:rPr>
        <w:t>Terry</w:t>
      </w:r>
      <w:r w:rsidR="007C27D8">
        <w:t>)</w:t>
      </w:r>
      <w:r w:rsidRPr="0052255D" w:rsidR="00543363">
        <w:t xml:space="preserve">, </w:t>
      </w:r>
      <w:r w:rsidRPr="0052255D">
        <w:t xml:space="preserve">we </w:t>
      </w:r>
      <w:r w:rsidRPr="0052255D" w:rsidR="00CF0E29">
        <w:t>held</w:t>
      </w:r>
      <w:r w:rsidRPr="0052255D">
        <w:t xml:space="preserve"> that e</w:t>
      </w:r>
      <w:r w:rsidRPr="0052255D" w:rsidR="0086525A">
        <w:t xml:space="preserve">vidence that </w:t>
      </w:r>
      <w:r w:rsidRPr="0052255D" w:rsidR="00C775E9">
        <w:t xml:space="preserve">may create a lingering doubt </w:t>
      </w:r>
      <w:r w:rsidRPr="0052255D" w:rsidR="00595954">
        <w:t>regarding</w:t>
      </w:r>
      <w:r w:rsidRPr="0052255D" w:rsidR="00C775E9">
        <w:t xml:space="preserve"> </w:t>
      </w:r>
      <w:r w:rsidRPr="0052255D" w:rsidR="00D60288">
        <w:t xml:space="preserve">the defendant’s guilt is admissible </w:t>
      </w:r>
      <w:r w:rsidR="007D5A7C">
        <w:t xml:space="preserve">as evidence in mitigation </w:t>
      </w:r>
      <w:r w:rsidRPr="0052255D" w:rsidR="00562883">
        <w:t xml:space="preserve">at </w:t>
      </w:r>
      <w:r w:rsidR="007D5A7C">
        <w:t>a</w:t>
      </w:r>
      <w:r w:rsidRPr="0052255D" w:rsidR="007D5A7C">
        <w:t xml:space="preserve"> </w:t>
      </w:r>
      <w:r w:rsidRPr="0052255D" w:rsidR="006E65C2">
        <w:t xml:space="preserve">penalty phase </w:t>
      </w:r>
      <w:r w:rsidR="007D5A7C">
        <w:t>retrial in</w:t>
      </w:r>
      <w:r w:rsidRPr="0052255D" w:rsidR="006E65C2">
        <w:t xml:space="preserve"> a capital </w:t>
      </w:r>
      <w:r w:rsidR="007D5A7C">
        <w:t>case</w:t>
      </w:r>
      <w:r w:rsidRPr="0052255D" w:rsidR="00CE12B2">
        <w:t>.</w:t>
      </w:r>
      <w:r>
        <w:rPr>
          <w:rStyle w:val="FootnoteReference"/>
        </w:rPr>
        <w:footnoteReference w:id="12"/>
      </w:r>
      <w:r w:rsidRPr="0052255D" w:rsidR="00EE2F21">
        <w:t xml:space="preserve">  </w:t>
      </w:r>
      <w:r w:rsidRPr="0052255D" w:rsidR="00D15BEB">
        <w:t>We explained:  “Indeed, the nature of the jury</w:t>
      </w:r>
      <w:r w:rsidRPr="0052255D" w:rsidR="00DF5F4B">
        <w:t>’</w:t>
      </w:r>
      <w:r w:rsidRPr="0052255D" w:rsidR="00D15BEB">
        <w:t>s function in fixing punishment underscores the importance of permitting to the defendant the opp</w:t>
      </w:r>
      <w:r w:rsidRPr="0052255D" w:rsidR="00DF5F4B">
        <w:t>or</w:t>
      </w:r>
      <w:r w:rsidRPr="0052255D" w:rsidR="00D15BEB">
        <w:t xml:space="preserve">tunity of presenting his claim of innocence. </w:t>
      </w:r>
      <w:r w:rsidRPr="0052255D" w:rsidR="00DF5F4B">
        <w:t xml:space="preserve"> </w:t>
      </w:r>
      <w:r w:rsidRPr="0052255D" w:rsidR="00D15BEB">
        <w:t>The jury</w:t>
      </w:r>
      <w:r w:rsidRPr="0052255D" w:rsidR="00DF5F4B">
        <w:t>’</w:t>
      </w:r>
      <w:r w:rsidRPr="0052255D" w:rsidR="00D15BEB">
        <w:t>s task, like the historian</w:t>
      </w:r>
      <w:r w:rsidRPr="0052255D" w:rsidR="00DF5F4B">
        <w:t>’</w:t>
      </w:r>
      <w:r w:rsidRPr="0052255D" w:rsidR="00D15BEB">
        <w:t xml:space="preserve">s, must be to discover and evaluate events that have faded into the past, and no human mind can perform that function with certainty. </w:t>
      </w:r>
      <w:r w:rsidRPr="0052255D" w:rsidR="00DF5F4B">
        <w:t xml:space="preserve"> </w:t>
      </w:r>
      <w:r w:rsidRPr="0052255D" w:rsidR="00D15BEB">
        <w:t xml:space="preserve">Judges and juries must time and again reach decisions that are not free from doubt; only the most fatuous would claim the adjudication of guilt to be infallible. </w:t>
      </w:r>
      <w:r w:rsidRPr="0052255D" w:rsidR="00DF5F4B">
        <w:t xml:space="preserve"> </w:t>
      </w:r>
      <w:r w:rsidRPr="0052255D" w:rsidR="00D15BEB">
        <w:t xml:space="preserve">The lingering doubts of jurors in the guilt phase may well cast their shadows into the penalty phase and in some measure affect the nature of the punishment. </w:t>
      </w:r>
      <w:r w:rsidRPr="0052255D" w:rsidR="00DF5F4B">
        <w:t xml:space="preserve"> </w:t>
      </w:r>
      <w:r w:rsidRPr="0052255D" w:rsidR="00D15BEB">
        <w:t>Even were it desirable to insulate the psychological reactions of the jurors as to each trial, no legal dictum could compel such division, and, in any event, no statute designs it.</w:t>
      </w:r>
      <w:r w:rsidRPr="0052255D" w:rsidR="00DF5F4B">
        <w:t>”  (</w:t>
      </w:r>
      <w:r w:rsidRPr="0052255D" w:rsidR="00462D6A">
        <w:rPr>
          <w:i/>
          <w:iCs/>
        </w:rPr>
        <w:t>Ibid.</w:t>
      </w:r>
      <w:r w:rsidRPr="0052255D" w:rsidR="00462D6A">
        <w:t xml:space="preserve">) </w:t>
      </w:r>
      <w:r w:rsidRPr="0052255D" w:rsidR="00D15BEB">
        <w:t xml:space="preserve"> </w:t>
      </w:r>
    </w:p>
    <w:p w:rsidR="00A50300" w:rsidRPr="0052255D" w:rsidP="0052255D">
      <w:pPr>
        <w:tabs>
          <w:tab w:val="left" w:pos="1440"/>
        </w:tabs>
        <w:ind w:firstLine="720"/>
      </w:pPr>
      <w:r w:rsidRPr="0052255D">
        <w:t xml:space="preserve">We reaffirmed </w:t>
      </w:r>
      <w:r w:rsidRPr="0052255D">
        <w:rPr>
          <w:i/>
          <w:iCs/>
        </w:rPr>
        <w:t>Terry</w:t>
      </w:r>
      <w:r w:rsidRPr="0052255D">
        <w:t xml:space="preserve">’s </w:t>
      </w:r>
      <w:r w:rsidRPr="0052255D" w:rsidR="00673E44">
        <w:t>holding in</w:t>
      </w:r>
      <w:r w:rsidRPr="0052255D">
        <w:rPr>
          <w:i/>
          <w:iCs/>
        </w:rPr>
        <w:t xml:space="preserve"> </w:t>
      </w:r>
      <w:r w:rsidRPr="0052255D" w:rsidR="006E65C2">
        <w:rPr>
          <w:i/>
          <w:iCs/>
        </w:rPr>
        <w:t>Gay</w:t>
      </w:r>
      <w:r w:rsidR="00AD3969">
        <w:t xml:space="preserve">, </w:t>
      </w:r>
      <w:r w:rsidR="00AD3969">
        <w:rPr>
          <w:i/>
          <w:iCs/>
        </w:rPr>
        <w:t>supra</w:t>
      </w:r>
      <w:r w:rsidR="00AD3969">
        <w:t>,</w:t>
      </w:r>
      <w:r w:rsidRPr="0052255D" w:rsidR="006E65C2">
        <w:rPr>
          <w:i/>
          <w:iCs/>
        </w:rPr>
        <w:t xml:space="preserve"> </w:t>
      </w:r>
      <w:r w:rsidRPr="0052255D" w:rsidR="006E65C2">
        <w:t>42</w:t>
      </w:r>
      <w:r w:rsidR="00C44E18">
        <w:t> </w:t>
      </w:r>
      <w:r w:rsidRPr="0052255D" w:rsidR="006E65C2">
        <w:t>Cal.4th 1195</w:t>
      </w:r>
      <w:r w:rsidRPr="0052255D" w:rsidR="00E10A2E">
        <w:t xml:space="preserve">.  There, we </w:t>
      </w:r>
      <w:r w:rsidRPr="0052255D" w:rsidR="003F2470">
        <w:t>held</w:t>
      </w:r>
      <w:r w:rsidRPr="0052255D" w:rsidR="00EE0F31">
        <w:t xml:space="preserve"> that the trial court erred </w:t>
      </w:r>
      <w:r w:rsidRPr="0052255D" w:rsidR="003F2470">
        <w:t>when it excluded</w:t>
      </w:r>
      <w:r w:rsidRPr="0052255D" w:rsidR="00683E13">
        <w:t xml:space="preserve"> as irrelevant</w:t>
      </w:r>
      <w:r w:rsidRPr="0052255D" w:rsidR="003F2470">
        <w:t xml:space="preserve"> </w:t>
      </w:r>
      <w:r w:rsidR="00540E6A">
        <w:t xml:space="preserve">evidence proffered </w:t>
      </w:r>
      <w:r w:rsidRPr="0052255D" w:rsidR="00683E13">
        <w:t xml:space="preserve">at </w:t>
      </w:r>
      <w:r w:rsidR="00540E6A">
        <w:t>a</w:t>
      </w:r>
      <w:r w:rsidRPr="0052255D" w:rsidR="00683E13">
        <w:t xml:space="preserve"> penalty phase </w:t>
      </w:r>
      <w:r w:rsidR="00540E6A">
        <w:t xml:space="preserve">retrial of </w:t>
      </w:r>
      <w:r w:rsidRPr="0052255D" w:rsidR="00683E13">
        <w:t>a</w:t>
      </w:r>
      <w:r w:rsidRPr="0052255D" w:rsidR="0074606D">
        <w:t xml:space="preserve"> codefendant’s </w:t>
      </w:r>
      <w:r w:rsidRPr="0052255D" w:rsidR="00391F00">
        <w:t xml:space="preserve">out-of-court </w:t>
      </w:r>
      <w:r w:rsidRPr="0052255D" w:rsidR="0074606D">
        <w:t>admissions</w:t>
      </w:r>
      <w:r w:rsidRPr="0052255D" w:rsidR="00CF0F82">
        <w:t xml:space="preserve"> that he was the </w:t>
      </w:r>
      <w:r w:rsidRPr="0052255D" w:rsidR="00391F00">
        <w:t>sole</w:t>
      </w:r>
      <w:r w:rsidRPr="0052255D" w:rsidR="00CF0F82">
        <w:t xml:space="preserve"> shooter</w:t>
      </w:r>
      <w:r w:rsidRPr="0052255D" w:rsidR="00683E13">
        <w:t>,</w:t>
      </w:r>
      <w:r w:rsidRPr="0052255D" w:rsidR="00CF0F82">
        <w:t xml:space="preserve"> and the corroborating </w:t>
      </w:r>
      <w:r w:rsidRPr="0052255D" w:rsidR="00677C23">
        <w:t xml:space="preserve">testimony of </w:t>
      </w:r>
      <w:r w:rsidRPr="0052255D" w:rsidR="00D57FEB">
        <w:t>four</w:t>
      </w:r>
      <w:r w:rsidRPr="0052255D" w:rsidR="00677C23">
        <w:t xml:space="preserve"> </w:t>
      </w:r>
      <w:r w:rsidRPr="0052255D" w:rsidR="00CE70E3">
        <w:t>eye</w:t>
      </w:r>
      <w:r w:rsidRPr="0052255D" w:rsidR="00677C23">
        <w:t>witnesses</w:t>
      </w:r>
      <w:r w:rsidRPr="0052255D" w:rsidR="0076684E">
        <w:t>.  (</w:t>
      </w:r>
      <w:r w:rsidRPr="0052255D" w:rsidR="0076684E">
        <w:rPr>
          <w:i/>
          <w:iCs/>
        </w:rPr>
        <w:t>Id.</w:t>
      </w:r>
      <w:r w:rsidRPr="0052255D" w:rsidR="0076684E">
        <w:t>, at p</w:t>
      </w:r>
      <w:r w:rsidRPr="0052255D" w:rsidR="00E64000">
        <w:t>p</w:t>
      </w:r>
      <w:r w:rsidRPr="0052255D" w:rsidR="0076684E">
        <w:t xml:space="preserve">. </w:t>
      </w:r>
      <w:r w:rsidRPr="0052255D" w:rsidR="00E64000">
        <w:t xml:space="preserve">1216, </w:t>
      </w:r>
      <w:r w:rsidRPr="0052255D" w:rsidR="0076684E">
        <w:t>12</w:t>
      </w:r>
      <w:r w:rsidRPr="0052255D" w:rsidR="00B978E8">
        <w:t>23</w:t>
      </w:r>
      <w:r w:rsidRPr="0052255D" w:rsidR="0076684E">
        <w:t>.)</w:t>
      </w:r>
      <w:r w:rsidRPr="0052255D" w:rsidR="00A10F68">
        <w:t xml:space="preserve"> </w:t>
      </w:r>
      <w:r w:rsidRPr="0052255D" w:rsidR="0076684E">
        <w:t xml:space="preserve"> </w:t>
      </w:r>
      <w:r w:rsidRPr="0052255D" w:rsidR="00134991">
        <w:t xml:space="preserve">We </w:t>
      </w:r>
      <w:r w:rsidRPr="0052255D" w:rsidR="002F06F7">
        <w:t>reiterated that although “incompetent or irrelevant [evidence] is not admissible at the penalty phase,”</w:t>
      </w:r>
      <w:r w:rsidRPr="0052255D" w:rsidR="0075421A">
        <w:t xml:space="preserve"> </w:t>
      </w:r>
      <w:r w:rsidRPr="0052255D" w:rsidR="00DD10CC">
        <w:t xml:space="preserve">this does not “call[] into question what ‘ “is certainly the rule that if the evidence would have been admissible on the trial of the guilt issue, it is admissible on the trial aimed at fixing the penalty.” ’ ”  </w:t>
      </w:r>
      <w:r w:rsidRPr="0052255D" w:rsidR="001C1569">
        <w:t>(</w:t>
      </w:r>
      <w:r w:rsidRPr="0052255D" w:rsidR="001C1569">
        <w:rPr>
          <w:i/>
          <w:iCs/>
        </w:rPr>
        <w:t>Id.</w:t>
      </w:r>
      <w:r w:rsidRPr="0052255D" w:rsidR="001C1569">
        <w:t xml:space="preserve">, at </w:t>
      </w:r>
      <w:r w:rsidR="00907A2B">
        <w:t>p</w:t>
      </w:r>
      <w:r w:rsidRPr="0052255D" w:rsidR="001C1569">
        <w:t>p. 1220</w:t>
      </w:r>
      <w:r w:rsidR="00907A2B">
        <w:t>–1221</w:t>
      </w:r>
      <w:r w:rsidRPr="0052255D" w:rsidR="001C1569">
        <w:t xml:space="preserve">.)  </w:t>
      </w:r>
      <w:r w:rsidRPr="0052255D" w:rsidR="00FA5495">
        <w:t xml:space="preserve">We </w:t>
      </w:r>
      <w:r w:rsidRPr="0052255D" w:rsidR="00AC6409">
        <w:t>emphasized:  “ ‘[T]hat the defendant cannot relitigate the issue of guilt or innocence</w:t>
      </w:r>
      <w:r w:rsidR="00D13841">
        <w:t xml:space="preserve"> . . . </w:t>
      </w:r>
      <w:r w:rsidRPr="0052255D" w:rsidR="00AC6409">
        <w:t>does not preclude the admission of evidence relating to the circumstances of the crime or the aggravating or mitigating circumstances, including evidence which may mitigate a defendant’s culpability by showing that he actually did not kill the victim.  The test for admissibility is not whether the evidence tends to prove the defendant did not commit the crime, but, whether it relates to the circumstances of the crime or the aggravating or mitigating circumstances.’ ”</w:t>
      </w:r>
      <w:r w:rsidRPr="0052255D" w:rsidR="00E10A2E">
        <w:t xml:space="preserve"> </w:t>
      </w:r>
      <w:r w:rsidRPr="0052255D" w:rsidR="008150AA">
        <w:t xml:space="preserve"> </w:t>
      </w:r>
      <w:r w:rsidRPr="0052255D" w:rsidR="00AC6409">
        <w:t>(</w:t>
      </w:r>
      <w:r w:rsidRPr="0052255D" w:rsidR="00AC6409">
        <w:rPr>
          <w:i/>
          <w:iCs/>
        </w:rPr>
        <w:t>Id.</w:t>
      </w:r>
      <w:r w:rsidRPr="0052255D" w:rsidR="00AC6409">
        <w:t xml:space="preserve">, at p. </w:t>
      </w:r>
      <w:r w:rsidRPr="0052255D" w:rsidR="00651312">
        <w:t>1223</w:t>
      </w:r>
      <w:r w:rsidRPr="0052255D" w:rsidR="007A561B">
        <w:t xml:space="preserve">, quoting </w:t>
      </w:r>
      <w:r w:rsidRPr="0052255D" w:rsidR="007A561B">
        <w:rPr>
          <w:i/>
          <w:iCs/>
        </w:rPr>
        <w:t>State v. Teague</w:t>
      </w:r>
      <w:r w:rsidRPr="0052255D" w:rsidR="007A561B">
        <w:t xml:space="preserve"> (Tenn. 1995) 897 S.W.2d 248, 252</w:t>
      </w:r>
      <w:r w:rsidRPr="00645BFD" w:rsidR="007A561B">
        <w:t>.)</w:t>
      </w:r>
    </w:p>
    <w:p w:rsidR="00C72237" w:rsidP="0052255D">
      <w:pPr>
        <w:tabs>
          <w:tab w:val="left" w:pos="1440"/>
        </w:tabs>
        <w:ind w:firstLine="720"/>
      </w:pPr>
      <w:r w:rsidRPr="0052255D">
        <w:t xml:space="preserve">The Attorney General </w:t>
      </w:r>
      <w:r w:rsidRPr="0052255D" w:rsidR="00294AFE">
        <w:t xml:space="preserve">tries to distinguish </w:t>
      </w:r>
      <w:r w:rsidRPr="0052255D" w:rsidR="00294AFE">
        <w:rPr>
          <w:i/>
          <w:iCs/>
        </w:rPr>
        <w:t xml:space="preserve">Gay </w:t>
      </w:r>
      <w:r w:rsidRPr="0052255D" w:rsidR="00294AFE">
        <w:t xml:space="preserve">and </w:t>
      </w:r>
      <w:r w:rsidRPr="0052255D" w:rsidR="00294AFE">
        <w:rPr>
          <w:i/>
          <w:iCs/>
        </w:rPr>
        <w:t>Terry</w:t>
      </w:r>
      <w:r w:rsidRPr="0052255D" w:rsidR="00294AFE">
        <w:t xml:space="preserve"> on the ground that </w:t>
      </w:r>
      <w:r w:rsidRPr="0052255D" w:rsidR="00B1098F">
        <w:t xml:space="preserve">those </w:t>
      </w:r>
      <w:r w:rsidRPr="0052255D" w:rsidR="00443266">
        <w:t>cases involved penalty retrials</w:t>
      </w:r>
      <w:r w:rsidRPr="0052255D" w:rsidR="00C106C9">
        <w:t xml:space="preserve">.  He </w:t>
      </w:r>
      <w:r w:rsidRPr="0052255D" w:rsidR="008E2D39">
        <w:t>maintains</w:t>
      </w:r>
      <w:r w:rsidRPr="0052255D" w:rsidR="00C106C9">
        <w:t xml:space="preserve"> that </w:t>
      </w:r>
      <w:r w:rsidRPr="0052255D" w:rsidR="00152916">
        <w:t>“</w:t>
      </w:r>
      <w:r w:rsidRPr="0052255D" w:rsidR="0051604A">
        <w:t xml:space="preserve">evidence is not admissible </w:t>
      </w:r>
      <w:r w:rsidRPr="0052255D" w:rsidR="00D91618">
        <w:t>at the penalty phase for the purpose of creating reasonable doubt</w:t>
      </w:r>
      <w:r w:rsidRPr="0052255D" w:rsidR="00EA1115">
        <w:t>,</w:t>
      </w:r>
      <w:r w:rsidRPr="0052255D" w:rsidR="00D91618">
        <w:t>”</w:t>
      </w:r>
      <w:r w:rsidRPr="0052255D" w:rsidR="00EA1115">
        <w:t xml:space="preserve"> with the exception of a retrial of the penalty phase.  </w:t>
      </w:r>
      <w:r w:rsidR="00E22D89">
        <w:t>The Attorney General misunderstands the nature of Towne’s proffered testimony as well as the significance of a penalty retrial in this context</w:t>
      </w:r>
      <w:r w:rsidRPr="0052255D" w:rsidR="0058291D">
        <w:t xml:space="preserve">.  </w:t>
      </w:r>
    </w:p>
    <w:p w:rsidR="006E1C4F" w:rsidP="0052255D">
      <w:pPr>
        <w:tabs>
          <w:tab w:val="left" w:pos="1440"/>
        </w:tabs>
        <w:ind w:firstLine="720"/>
      </w:pPr>
      <w:r w:rsidRPr="0052255D">
        <w:t xml:space="preserve">First, Towne’s proffered statement regarding the build of the shooter </w:t>
      </w:r>
      <w:r w:rsidRPr="0052255D" w:rsidR="00E068B5">
        <w:t xml:space="preserve">constituted </w:t>
      </w:r>
      <w:r w:rsidRPr="0052255D" w:rsidR="00683E13">
        <w:t xml:space="preserve">not reasonable doubt evidence, but </w:t>
      </w:r>
      <w:r w:rsidRPr="0052255D" w:rsidR="00E068B5">
        <w:rPr>
          <w:i/>
          <w:iCs/>
        </w:rPr>
        <w:t>lingering</w:t>
      </w:r>
      <w:r w:rsidRPr="0052255D" w:rsidR="00600ED6">
        <w:rPr>
          <w:i/>
          <w:iCs/>
        </w:rPr>
        <w:t xml:space="preserve"> </w:t>
      </w:r>
      <w:r w:rsidRPr="0052255D" w:rsidR="00311A9D">
        <w:rPr>
          <w:i/>
          <w:iCs/>
        </w:rPr>
        <w:t xml:space="preserve">doubt </w:t>
      </w:r>
      <w:r w:rsidRPr="0052255D" w:rsidR="004D6108">
        <w:t xml:space="preserve">evidence, </w:t>
      </w:r>
      <w:r w:rsidRPr="0052255D" w:rsidR="00600ED6">
        <w:t xml:space="preserve">which </w:t>
      </w:r>
      <w:r w:rsidRPr="0052255D" w:rsidR="00311A9D">
        <w:t xml:space="preserve">is </w:t>
      </w:r>
      <w:r w:rsidRPr="0052255D" w:rsidR="004D6108">
        <w:t>admissible under section 190.3, factor (a)</w:t>
      </w:r>
      <w:r w:rsidRPr="0052255D" w:rsidR="00311A9D">
        <w:t xml:space="preserve">. </w:t>
      </w:r>
      <w:r w:rsidRPr="0052255D" w:rsidR="00D25F07">
        <w:t xml:space="preserve"> </w:t>
      </w:r>
      <w:r w:rsidRPr="00AB64BE" w:rsidR="001E5F91">
        <w:t>Allowing the jury to consider lingering doubt evidence does not amount to an improper attempt to “relitigate the</w:t>
      </w:r>
      <w:r w:rsidR="00D13841">
        <w:t xml:space="preserve"> . . . </w:t>
      </w:r>
      <w:r w:rsidRPr="00AB64BE" w:rsidR="001E5F91">
        <w:t>conviction.”  (</w:t>
      </w:r>
      <w:r w:rsidRPr="001E5F91" w:rsidR="001E5F91">
        <w:rPr>
          <w:i/>
          <w:iCs/>
        </w:rPr>
        <w:t>Terry</w:t>
      </w:r>
      <w:r w:rsidRPr="00AB64BE" w:rsidR="001E5F91">
        <w:t xml:space="preserve">, </w:t>
      </w:r>
      <w:r w:rsidRPr="001E5F91" w:rsidR="001E5F91">
        <w:rPr>
          <w:i/>
          <w:iCs/>
        </w:rPr>
        <w:t>supra</w:t>
      </w:r>
      <w:r w:rsidRPr="00AB64BE" w:rsidR="001E5F91">
        <w:t>, 61 Cal.2d at p. 145.)  Because of differing standards of proof at the two trial phases, a jury determination that the defendant is guilty beyond a reasonable doubt does not preclude a jury from entertaining lingering or residual doubt as to the nature or extent of the defendant’s guilt.</w:t>
      </w:r>
      <w:r>
        <w:rPr>
          <w:rStyle w:val="FootnoteReference"/>
        </w:rPr>
        <w:footnoteReference w:id="13"/>
      </w:r>
      <w:r w:rsidRPr="00AB64BE" w:rsidR="001E5F91">
        <w:t xml:space="preserve">  (</w:t>
      </w:r>
      <w:r w:rsidRPr="001E5F91" w:rsidR="001E5F91">
        <w:rPr>
          <w:i/>
          <w:iCs/>
        </w:rPr>
        <w:t>Gay</w:t>
      </w:r>
      <w:r w:rsidRPr="00AB64BE" w:rsidR="001E5F91">
        <w:t xml:space="preserve">, </w:t>
      </w:r>
      <w:r w:rsidRPr="001E5F91" w:rsidR="001E5F91">
        <w:rPr>
          <w:i/>
          <w:iCs/>
        </w:rPr>
        <w:t>supra</w:t>
      </w:r>
      <w:r w:rsidRPr="00AB64BE" w:rsidR="001E5F91">
        <w:t>, 42 Cal.4th at p. 1229, fn. 1 (conc. opn. of Werdegar, J.)</w:t>
      </w:r>
      <w:r w:rsidR="006D4273">
        <w:t>.)</w:t>
      </w:r>
      <w:r w:rsidRPr="00AB64BE" w:rsidR="001E5F91">
        <w:t xml:space="preserve">     </w:t>
      </w:r>
    </w:p>
    <w:p w:rsidR="005952CE" w:rsidP="0052255D">
      <w:pPr>
        <w:tabs>
          <w:tab w:val="left" w:pos="1440"/>
        </w:tabs>
        <w:ind w:firstLine="720"/>
      </w:pPr>
      <w:r w:rsidRPr="0052255D">
        <w:t xml:space="preserve">Second, although both </w:t>
      </w:r>
      <w:r w:rsidRPr="0052255D">
        <w:rPr>
          <w:i/>
          <w:iCs/>
        </w:rPr>
        <w:t xml:space="preserve">Gay </w:t>
      </w:r>
      <w:r w:rsidRPr="0052255D">
        <w:t xml:space="preserve">and </w:t>
      </w:r>
      <w:r w:rsidRPr="0052255D">
        <w:rPr>
          <w:i/>
          <w:iCs/>
        </w:rPr>
        <w:t xml:space="preserve">Terry </w:t>
      </w:r>
      <w:r w:rsidRPr="0052255D">
        <w:t>involved penalty retrials,</w:t>
      </w:r>
      <w:r w:rsidRPr="0052255D" w:rsidR="00C9210E">
        <w:t xml:space="preserve"> </w:t>
      </w:r>
      <w:r w:rsidRPr="0052255D" w:rsidR="009E402B">
        <w:t>it is clear that</w:t>
      </w:r>
      <w:r w:rsidRPr="0052255D">
        <w:t xml:space="preserve"> </w:t>
      </w:r>
      <w:r w:rsidRPr="0052255D" w:rsidR="005722BC">
        <w:t>lingering doubt evidence</w:t>
      </w:r>
      <w:r w:rsidRPr="0052255D" w:rsidR="00215F55">
        <w:t xml:space="preserve"> is </w:t>
      </w:r>
      <w:r w:rsidRPr="0052255D" w:rsidR="009E402B">
        <w:t>relevant</w:t>
      </w:r>
      <w:r w:rsidRPr="0052255D" w:rsidR="009A2B0A">
        <w:t xml:space="preserve"> under section </w:t>
      </w:r>
      <w:r w:rsidRPr="0052255D" w:rsidR="00C9210E">
        <w:t>190.3, “[w]hether in the penalty phase of a unitary trial or in a penalty retrial.”</w:t>
      </w:r>
      <w:r w:rsidRPr="0052255D" w:rsidR="009E402B">
        <w:t xml:space="preserve">  (</w:t>
      </w:r>
      <w:r w:rsidRPr="0052255D" w:rsidR="009E402B">
        <w:rPr>
          <w:i/>
          <w:iCs/>
        </w:rPr>
        <w:t>Gay</w:t>
      </w:r>
      <w:r w:rsidRPr="0052255D" w:rsidR="009E402B">
        <w:t xml:space="preserve">, </w:t>
      </w:r>
      <w:r w:rsidRPr="0052255D" w:rsidR="009E402B">
        <w:rPr>
          <w:i/>
          <w:iCs/>
        </w:rPr>
        <w:t>supra</w:t>
      </w:r>
      <w:r w:rsidRPr="0052255D" w:rsidR="009E402B">
        <w:t>, 42 Cal.4th at p.</w:t>
      </w:r>
      <w:r w:rsidR="00851754">
        <w:t> </w:t>
      </w:r>
      <w:r w:rsidRPr="0052255D" w:rsidR="002176E2">
        <w:t>1229 (conc. opn. of Werdegar, J.)</w:t>
      </w:r>
      <w:r w:rsidRPr="0052255D" w:rsidR="00D60B0C">
        <w:t xml:space="preserve">; see </w:t>
      </w:r>
      <w:r w:rsidRPr="0052255D" w:rsidR="00D60B0C">
        <w:rPr>
          <w:i/>
          <w:iCs/>
        </w:rPr>
        <w:t>ibid</w:t>
      </w:r>
      <w:r w:rsidRPr="0052255D" w:rsidR="00D60B0C">
        <w:t>. [“Our holding today, although made in the context of a penalty retrial, logically applies as well to an ordinary penalty phase.  What is relevant in one is equally relevant in the other”]</w:t>
      </w:r>
      <w:r w:rsidRPr="0052255D" w:rsidR="002176E2">
        <w:t xml:space="preserve">.)  </w:t>
      </w:r>
      <w:r w:rsidRPr="00AB64BE" w:rsidR="000201F6">
        <w:rPr>
          <w:i/>
          <w:iCs/>
        </w:rPr>
        <w:t>People v. Blair</w:t>
      </w:r>
      <w:r w:rsidRPr="00AB64BE" w:rsidR="000201F6">
        <w:t xml:space="preserve"> (2005) 36 Cal.4th 686 is illustrative.  There, the prosecut</w:t>
      </w:r>
      <w:r w:rsidR="00D76203">
        <w:t>ion</w:t>
      </w:r>
      <w:r w:rsidRPr="00AB64BE" w:rsidR="000201F6">
        <w:t xml:space="preserve"> offered the testimony of </w:t>
      </w:r>
      <w:r w:rsidR="004F52AE">
        <w:t xml:space="preserve">the </w:t>
      </w:r>
      <w:r w:rsidRPr="00AB64BE" w:rsidR="000201F6">
        <w:t>defendant’s former chemistry teacher at the penalty phase of a unitary trial to prove that the defendant was familiar with the dangerous properties of cyanide, which was used to kill the victim.  (</w:t>
      </w:r>
      <w:r w:rsidRPr="00AB64BE" w:rsidR="000201F6">
        <w:rPr>
          <w:i/>
          <w:iCs/>
        </w:rPr>
        <w:t>Id</w:t>
      </w:r>
      <w:r w:rsidRPr="00AB64BE" w:rsidR="000201F6">
        <w:t>.</w:t>
      </w:r>
      <w:r w:rsidR="00D13841">
        <w:t>,</w:t>
      </w:r>
      <w:r w:rsidRPr="00AB64BE" w:rsidR="000201F6">
        <w:t xml:space="preserve"> at p</w:t>
      </w:r>
      <w:r w:rsidR="00ED0229">
        <w:t>.</w:t>
      </w:r>
      <w:r w:rsidRPr="00AB64BE" w:rsidR="000201F6">
        <w:t xml:space="preserve"> 749.)  We held the evidence was relevant to show “that defendant could have been the individual who placed the cyanide in the gin bottle given to [the victim and her friend], and that defendant was aware that inserting cyanide into the gin bottle could cause their deaths.”  (</w:t>
      </w:r>
      <w:r w:rsidRPr="00AB64BE" w:rsidR="000201F6">
        <w:rPr>
          <w:i/>
          <w:iCs/>
        </w:rPr>
        <w:t>Ibid</w:t>
      </w:r>
      <w:r w:rsidRPr="00AB64BE" w:rsidR="000201F6">
        <w:t>.)  We found the evidence properly admitted under section 190.3, factor (a) as a circumstance of the crime for which the defendant was convicted or of the special circumstance which the jury found true.  In so concluding, we rejected the defendant’s argument “that we have placed limitations on defendants who seek to introduce, at the penalty phase, evidence relevant to issues of guilt or innocence, and that parallel limitations should be imposed on prosecution evidence.”  (</w:t>
      </w:r>
      <w:r w:rsidR="002827F2">
        <w:rPr>
          <w:i/>
          <w:iCs/>
        </w:rPr>
        <w:t>Blair</w:t>
      </w:r>
      <w:r w:rsidR="00D13841">
        <w:t>,</w:t>
      </w:r>
      <w:r w:rsidRPr="00AB64BE" w:rsidR="000201F6">
        <w:t xml:space="preserve"> at p. 749.)  We observed that a defendant is not precluded from introducing “any and all evidence relevant to guilt or innocence at the penalty phase.  Indeed, in many circumstances evidence related to guilt or innocence, and properly designed to raise a lingering doubt, will be relevant and admissible.”  (</w:t>
      </w:r>
      <w:r w:rsidRPr="00AB64BE" w:rsidR="000201F6">
        <w:rPr>
          <w:i/>
          <w:iCs/>
        </w:rPr>
        <w:t>Id</w:t>
      </w:r>
      <w:r w:rsidRPr="00AB64BE" w:rsidR="000201F6">
        <w:t>.</w:t>
      </w:r>
      <w:r w:rsidR="00D13841">
        <w:t>,</w:t>
      </w:r>
      <w:r w:rsidRPr="00AB64BE" w:rsidR="000201F6">
        <w:t xml:space="preserve"> at p. 750, citing cases.)</w:t>
      </w:r>
    </w:p>
    <w:p w:rsidR="00435A0A" w:rsidRPr="0052255D" w:rsidP="0052255D">
      <w:pPr>
        <w:tabs>
          <w:tab w:val="left" w:pos="1440"/>
        </w:tabs>
        <w:ind w:firstLine="720"/>
      </w:pPr>
      <w:r w:rsidRPr="0052255D">
        <w:t xml:space="preserve">It is true that </w:t>
      </w:r>
      <w:r w:rsidRPr="0052255D" w:rsidR="002520FF">
        <w:t>“</w:t>
      </w:r>
      <w:r w:rsidRPr="0052255D">
        <w:t>in an ordinary penalty phase, tried before the same jury that recently heard and decided guilt</w:t>
      </w:r>
      <w:r w:rsidRPr="0052255D" w:rsidR="00283A3D">
        <w:t xml:space="preserve">, </w:t>
      </w:r>
      <w:r w:rsidRPr="0052255D" w:rsidR="002520FF">
        <w:t>the defense is far less likely to offer lingering doubt evidence</w:t>
      </w:r>
      <w:r w:rsidRPr="0052255D" w:rsidR="00283A3D">
        <w:t>, and the court might legitimately exclude some offered evidence as cumulative and wasteful of court</w:t>
      </w:r>
      <w:r w:rsidRPr="0052255D" w:rsidR="0037338F">
        <w:t xml:space="preserve"> time</w:t>
      </w:r>
      <w:r w:rsidRPr="0052255D" w:rsidR="00283A3D">
        <w:t>.”  (</w:t>
      </w:r>
      <w:r w:rsidRPr="0052255D" w:rsidR="005952CE">
        <w:rPr>
          <w:i/>
          <w:iCs/>
        </w:rPr>
        <w:t>Gay</w:t>
      </w:r>
      <w:r w:rsidRPr="0052255D" w:rsidR="005952CE">
        <w:t xml:space="preserve">, </w:t>
      </w:r>
      <w:r w:rsidRPr="0052255D" w:rsidR="005952CE">
        <w:rPr>
          <w:i/>
          <w:iCs/>
        </w:rPr>
        <w:t>supra</w:t>
      </w:r>
      <w:r w:rsidRPr="0052255D" w:rsidR="005952CE">
        <w:t>, 42 Cal.4th at p. 1229 (conc. opn. of Werdegar, J.)</w:t>
      </w:r>
      <w:r w:rsidRPr="0052255D" w:rsidR="006A53FD">
        <w:t xml:space="preserve">; </w:t>
      </w:r>
      <w:r w:rsidRPr="0052255D" w:rsidR="006A53FD">
        <w:rPr>
          <w:i/>
          <w:iCs/>
        </w:rPr>
        <w:t>Terry</w:t>
      </w:r>
      <w:r w:rsidRPr="0052255D" w:rsidR="006A53FD">
        <w:t xml:space="preserve">, </w:t>
      </w:r>
      <w:r w:rsidRPr="0052255D" w:rsidR="006A53FD">
        <w:rPr>
          <w:i/>
          <w:iCs/>
        </w:rPr>
        <w:t>supra</w:t>
      </w:r>
      <w:r w:rsidRPr="0052255D" w:rsidR="006A53FD">
        <w:t>, 61 Cal.2d at p. 146 [“If the same jury determines both guilt and penalty, the introduction of evidence as to defendant’s asserted innocence is unnecessary on the penalty phase because the jury will have heard that evidence in the guilt phase”]</w:t>
      </w:r>
      <w:r w:rsidRPr="0052255D" w:rsidR="00D81CF1">
        <w:t>.)</w:t>
      </w:r>
      <w:r w:rsidRPr="0052255D" w:rsidR="00D91618">
        <w:t xml:space="preserve">  </w:t>
      </w:r>
      <w:r w:rsidRPr="0052255D" w:rsidR="006A53FD">
        <w:t>But</w:t>
      </w:r>
      <w:r w:rsidRPr="0052255D" w:rsidR="00334959">
        <w:t xml:space="preserve"> “this difference in the two procedural circumstances does not affect the </w:t>
      </w:r>
      <w:r w:rsidRPr="0052255D" w:rsidR="00334959">
        <w:rPr>
          <w:i/>
          <w:iCs/>
        </w:rPr>
        <w:t xml:space="preserve">relevance </w:t>
      </w:r>
      <w:r w:rsidRPr="0052255D" w:rsidR="00334959">
        <w:t>of lingering doubt evidence.”</w:t>
      </w:r>
      <w:r w:rsidRPr="0052255D" w:rsidR="00D464FB">
        <w:t xml:space="preserve">  (</w:t>
      </w:r>
      <w:r w:rsidRPr="0052255D" w:rsidR="00D464FB">
        <w:rPr>
          <w:i/>
          <w:iCs/>
        </w:rPr>
        <w:t>Gay</w:t>
      </w:r>
      <w:r w:rsidRPr="0052255D" w:rsidR="00D464FB">
        <w:t>, at p. 1229 (conc. opn. of Werdegar, J.).)</w:t>
      </w:r>
      <w:r w:rsidRPr="0052255D" w:rsidR="00A30E4F">
        <w:t xml:space="preserve">  </w:t>
      </w:r>
    </w:p>
    <w:p w:rsidR="007A561B" w:rsidRPr="0052255D" w:rsidP="0052255D">
      <w:pPr>
        <w:tabs>
          <w:tab w:val="left" w:pos="1440"/>
        </w:tabs>
        <w:ind w:firstLine="720"/>
      </w:pPr>
      <w:r w:rsidRPr="0052255D">
        <w:t xml:space="preserve">Towne’s testimony </w:t>
      </w:r>
      <w:r w:rsidRPr="0052255D" w:rsidR="00991B03">
        <w:t>w</w:t>
      </w:r>
      <w:r w:rsidRPr="0052255D" w:rsidR="0023798C">
        <w:t xml:space="preserve">ould have been relevant and admissible at the guilt phase, but </w:t>
      </w:r>
      <w:r w:rsidRPr="0052255D" w:rsidR="00C5780F">
        <w:t xml:space="preserve">he could not be located.  </w:t>
      </w:r>
      <w:r w:rsidRPr="0052255D" w:rsidR="00041E09">
        <w:t>And b</w:t>
      </w:r>
      <w:r w:rsidRPr="0052255D" w:rsidR="0023798C">
        <w:t>ecause he</w:t>
      </w:r>
      <w:r w:rsidRPr="0052255D" w:rsidR="00041E09">
        <w:t xml:space="preserve"> did not testify at the guilt phase, his testimony at the penalty phase </w:t>
      </w:r>
      <w:r w:rsidRPr="0052255D" w:rsidR="00B12E9B">
        <w:t>cannot be deemed</w:t>
      </w:r>
      <w:r w:rsidRPr="0052255D" w:rsidR="00041E09">
        <w:t xml:space="preserve"> cumulative or </w:t>
      </w:r>
      <w:r w:rsidRPr="0052255D" w:rsidR="00B12E9B">
        <w:t>a waste</w:t>
      </w:r>
      <w:r w:rsidRPr="0052255D" w:rsidR="00041E09">
        <w:t xml:space="preserve"> of judicial resources.</w:t>
      </w:r>
      <w:r>
        <w:rPr>
          <w:rStyle w:val="FootnoteReference"/>
        </w:rPr>
        <w:footnoteReference w:id="14"/>
      </w:r>
      <w:r w:rsidRPr="0052255D" w:rsidR="00235379">
        <w:t xml:space="preserve">  </w:t>
      </w:r>
      <w:r w:rsidRPr="0052255D" w:rsidR="004E522B">
        <w:t>In short, Towne</w:t>
      </w:r>
      <w:r w:rsidRPr="0052255D" w:rsidR="001D065D">
        <w:t xml:space="preserve">’s testimony that </w:t>
      </w:r>
      <w:r w:rsidRPr="0052255D" w:rsidR="002D43BA">
        <w:t xml:space="preserve">the </w:t>
      </w:r>
      <w:r w:rsidRPr="0052255D" w:rsidR="005626F1">
        <w:t>shooter had a thin or medium build</w:t>
      </w:r>
      <w:r w:rsidRPr="0052255D" w:rsidR="00FA1251">
        <w:t>, which was</w:t>
      </w:r>
      <w:r w:rsidRPr="0052255D" w:rsidR="002D43BA">
        <w:t xml:space="preserve"> inconsistent with defendant</w:t>
      </w:r>
      <w:r w:rsidRPr="0052255D" w:rsidR="00FA1251">
        <w:t>’s build</w:t>
      </w:r>
      <w:r w:rsidRPr="0052255D" w:rsidR="002D43BA">
        <w:t xml:space="preserve"> but similar to Carrillo</w:t>
      </w:r>
      <w:r w:rsidRPr="0052255D" w:rsidR="00FA1251">
        <w:t>’s build, was admissible at the penalty trial under section 190.3 as a circumstance of the offense.  T</w:t>
      </w:r>
      <w:r w:rsidRPr="0052255D" w:rsidR="00BD047D">
        <w:t xml:space="preserve">he trial court </w:t>
      </w:r>
      <w:r w:rsidRPr="0052255D" w:rsidR="00726226">
        <w:t>abused its discretion</w:t>
      </w:r>
      <w:r w:rsidRPr="0052255D" w:rsidR="00BD047D">
        <w:t xml:space="preserve"> when it excluded this evidence at the penalty trial.</w:t>
      </w:r>
    </w:p>
    <w:p w:rsidR="008E2EDF" w:rsidRPr="0058568C" w:rsidP="00D13841">
      <w:pPr>
        <w:ind w:firstLine="720"/>
      </w:pPr>
      <w:r w:rsidRPr="0052255D">
        <w:t xml:space="preserve">Nevertheless, we conclude the trial court’s error was harmless under the circumstances.  </w:t>
      </w:r>
      <w:r w:rsidRPr="0052255D" w:rsidR="00E62E8D">
        <w:t>“Error in admitting or excluding evidence at the penalty phase of a capital trial is reversible if there is a reasonable possibility it affected the verdict.</w:t>
      </w:r>
      <w:r w:rsidRPr="0052255D" w:rsidR="00AC2791">
        <w:t>”</w:t>
      </w:r>
      <w:r w:rsidRPr="0052255D" w:rsidR="00E62E8D">
        <w:t xml:space="preserve">  (</w:t>
      </w:r>
      <w:r w:rsidRPr="0052255D" w:rsidR="00E62E8D">
        <w:rPr>
          <w:i/>
          <w:iCs/>
        </w:rPr>
        <w:t>Gay</w:t>
      </w:r>
      <w:r w:rsidRPr="0052255D" w:rsidR="00E62E8D">
        <w:t xml:space="preserve">, </w:t>
      </w:r>
      <w:r w:rsidRPr="0052255D" w:rsidR="00E62E8D">
        <w:rPr>
          <w:i/>
          <w:iCs/>
        </w:rPr>
        <w:t>supra</w:t>
      </w:r>
      <w:r w:rsidRPr="0052255D" w:rsidR="00E62E8D">
        <w:t xml:space="preserve">, </w:t>
      </w:r>
      <w:r w:rsidRPr="0052255D" w:rsidR="00A74023">
        <w:t>42 Cal.4th at p. 1223.)</w:t>
      </w:r>
      <w:r w:rsidRPr="0052255D" w:rsidR="00D75EF3">
        <w:t xml:space="preserve">  </w:t>
      </w:r>
      <w:r w:rsidRPr="0052255D" w:rsidR="000E5B3F">
        <w:t xml:space="preserve">In other words, </w:t>
      </w:r>
      <w:r w:rsidRPr="0052255D" w:rsidR="0020354A">
        <w:t xml:space="preserve">to </w:t>
      </w:r>
      <w:r w:rsidRPr="0052255D" w:rsidR="00A559CD">
        <w:t xml:space="preserve">determine whether an error </w:t>
      </w:r>
      <w:r w:rsidRPr="0052255D" w:rsidR="00F71F0B">
        <w:t xml:space="preserve">is </w:t>
      </w:r>
      <w:r w:rsidRPr="0052255D" w:rsidR="00A559CD">
        <w:t>harmless</w:t>
      </w:r>
      <w:r w:rsidRPr="0052255D" w:rsidR="000E5B3F">
        <w:t xml:space="preserve"> </w:t>
      </w:r>
      <w:r w:rsidRPr="0052255D" w:rsidR="006413D0">
        <w:t>under this standard, we</w:t>
      </w:r>
      <w:r w:rsidRPr="0052255D" w:rsidR="007759E2">
        <w:t xml:space="preserve"> must</w:t>
      </w:r>
      <w:r w:rsidRPr="0052255D" w:rsidR="006413D0">
        <w:t xml:space="preserve"> </w:t>
      </w:r>
      <w:r w:rsidRPr="0052255D" w:rsidR="00F71F0B">
        <w:t xml:space="preserve">decide whether </w:t>
      </w:r>
      <w:r w:rsidRPr="0052255D" w:rsidR="00CC406E">
        <w:t>it</w:t>
      </w:r>
      <w:r w:rsidRPr="0052255D" w:rsidR="00F71F0B">
        <w:t xml:space="preserve"> is </w:t>
      </w:r>
      <w:r w:rsidRPr="0052255D" w:rsidR="006413D0">
        <w:t>“</w:t>
      </w:r>
      <w:r w:rsidRPr="0052255D" w:rsidR="00F6404C">
        <w:t> ‘</w:t>
      </w:r>
      <w:r w:rsidRPr="0052255D" w:rsidR="006413D0">
        <w:t>unimportant in relation to everything else the jury considered on the issue in question, as revealed in the record.</w:t>
      </w:r>
      <w:r w:rsidRPr="0052255D" w:rsidR="00F6404C">
        <w:t>’ </w:t>
      </w:r>
      <w:r w:rsidRPr="0052255D" w:rsidR="006413D0">
        <w:t xml:space="preserve">”  </w:t>
      </w:r>
      <w:r w:rsidRPr="0052255D" w:rsidR="00CC406E">
        <w:t>(</w:t>
      </w:r>
      <w:r w:rsidRPr="0052255D" w:rsidR="00CC406E">
        <w:rPr>
          <w:i/>
          <w:iCs/>
        </w:rPr>
        <w:t xml:space="preserve">People v. Neal </w:t>
      </w:r>
      <w:r w:rsidRPr="0052255D" w:rsidR="00CC406E">
        <w:t>(2003) 31 Cal.4th 63, 86.)</w:t>
      </w:r>
    </w:p>
    <w:p w:rsidR="00373338" w:rsidRPr="008544D7" w:rsidP="0052255D">
      <w:pPr>
        <w:ind w:firstLine="720"/>
      </w:pPr>
      <w:r>
        <w:t xml:space="preserve">The dissenting </w:t>
      </w:r>
      <w:r w:rsidR="00D13841">
        <w:t>opinion</w:t>
      </w:r>
      <w:r>
        <w:t xml:space="preserve"> speculates that Towne’s testimony may well have played an important role in the penalty phase by providing a description of the shooter consistent with Fowler’s testimony that more closely matched the build of Carrillo than </w:t>
      </w:r>
      <w:r w:rsidR="00352B31">
        <w:t xml:space="preserve">that of </w:t>
      </w:r>
      <w:r>
        <w:t xml:space="preserve">defendant.  (Dis. opn. of Liu, J., </w:t>
      </w:r>
      <w:r>
        <w:rPr>
          <w:i/>
          <w:iCs/>
        </w:rPr>
        <w:t>post</w:t>
      </w:r>
      <w:r>
        <w:t>, at pp. 1, 3</w:t>
      </w:r>
      <w:r w:rsidR="009F2D58">
        <w:t xml:space="preserve">, </w:t>
      </w:r>
      <w:r w:rsidR="003D44CC">
        <w:t>5</w:t>
      </w:r>
      <w:r>
        <w:t xml:space="preserve">.)  </w:t>
      </w:r>
      <w:r w:rsidRPr="0052255D" w:rsidR="00D13841">
        <w:t>B</w:t>
      </w:r>
      <w:r w:rsidR="00D13841">
        <w:t>ut b</w:t>
      </w:r>
      <w:r w:rsidRPr="0052255D" w:rsidR="00D13841">
        <w:t xml:space="preserve">ased on </w:t>
      </w:r>
      <w:r w:rsidR="00D13841">
        <w:t xml:space="preserve">our review of </w:t>
      </w:r>
      <w:r w:rsidRPr="0052255D" w:rsidR="00D13841">
        <w:t xml:space="preserve">the </w:t>
      </w:r>
      <w:r w:rsidR="006204F8">
        <w:t xml:space="preserve">trial </w:t>
      </w:r>
      <w:r w:rsidR="00F76188">
        <w:t>record</w:t>
      </w:r>
      <w:r w:rsidR="00945AD1">
        <w:t xml:space="preserve"> and even taking into account </w:t>
      </w:r>
      <w:r w:rsidR="0069466C">
        <w:t>defendant’s posttrial filings</w:t>
      </w:r>
      <w:r w:rsidR="008876BA">
        <w:t xml:space="preserve"> relating to Towne’s proffered testimony</w:t>
      </w:r>
      <w:r w:rsidRPr="0052255D" w:rsidR="00E573D9">
        <w:t xml:space="preserve">, we can assume that Towne would have testified that for a few seconds, and from across a </w:t>
      </w:r>
      <w:r w:rsidRPr="0052255D" w:rsidR="00655827">
        <w:t>dark</w:t>
      </w:r>
      <w:r w:rsidRPr="0052255D" w:rsidR="00E573D9">
        <w:t xml:space="preserve"> parking lot in the middle of the night, he saw a shooter </w:t>
      </w:r>
      <w:r w:rsidR="00514C9A">
        <w:t>of</w:t>
      </w:r>
      <w:r w:rsidRPr="0052255D" w:rsidR="00E573D9">
        <w:t xml:space="preserve"> a thin </w:t>
      </w:r>
      <w:r w:rsidRPr="0052255D" w:rsidR="00C31328">
        <w:t xml:space="preserve">or medium </w:t>
      </w:r>
      <w:r w:rsidRPr="0052255D" w:rsidR="00E573D9">
        <w:t>build</w:t>
      </w:r>
      <w:r w:rsidR="00772031">
        <w:t xml:space="preserve"> </w:t>
      </w:r>
      <w:r w:rsidR="00514C9A">
        <w:t xml:space="preserve">with black skin </w:t>
      </w:r>
      <w:r w:rsidR="00772031">
        <w:t>wearing a cap</w:t>
      </w:r>
      <w:r w:rsidRPr="0052255D" w:rsidR="00E573D9">
        <w:t xml:space="preserve">.  </w:t>
      </w:r>
      <w:r w:rsidRPr="0052255D" w:rsidR="00C31328">
        <w:t xml:space="preserve">And given defense counsel’s proffer that Towne’s </w:t>
      </w:r>
      <w:r w:rsidRPr="0052255D" w:rsidR="00772A71">
        <w:t>testimony wou</w:t>
      </w:r>
      <w:r w:rsidRPr="0052255D" w:rsidR="00FC4969">
        <w:t>ld be “pretty consistent with Fowler’s testimony so it would be duplicating pretty much what Fowler said</w:t>
      </w:r>
      <w:r w:rsidRPr="0052255D" w:rsidR="00C31328">
        <w:t>,</w:t>
      </w:r>
      <w:r w:rsidRPr="0052255D" w:rsidR="00FC4969">
        <w:t>”</w:t>
      </w:r>
      <w:r w:rsidRPr="0052255D" w:rsidR="00163A68">
        <w:t xml:space="preserve"> </w:t>
      </w:r>
      <w:r w:rsidRPr="0052255D" w:rsidR="00C31328">
        <w:t>we can also take note that</w:t>
      </w:r>
      <w:r w:rsidRPr="0052255D" w:rsidR="00163A68">
        <w:t xml:space="preserve"> Fowler’s testimony was replete with </w:t>
      </w:r>
      <w:r w:rsidRPr="0052255D" w:rsidR="0024708F">
        <w:t xml:space="preserve">references to the poorly lit conditions </w:t>
      </w:r>
      <w:r w:rsidRPr="0052255D" w:rsidR="007E2060">
        <w:t xml:space="preserve">and difficulty in discerning </w:t>
      </w:r>
      <w:r w:rsidRPr="0052255D" w:rsidR="005353CD">
        <w:t>any</w:t>
      </w:r>
      <w:r w:rsidRPr="0052255D" w:rsidR="00410971">
        <w:t xml:space="preserve"> of the shooter’s</w:t>
      </w:r>
      <w:r w:rsidRPr="0052255D" w:rsidR="005353CD">
        <w:t xml:space="preserve"> distinguishing features</w:t>
      </w:r>
      <w:r w:rsidRPr="0052255D" w:rsidR="0091551D">
        <w:t>, including how big he was</w:t>
      </w:r>
      <w:r w:rsidRPr="0052255D" w:rsidR="00410971">
        <w:t>.</w:t>
      </w:r>
      <w:r w:rsidRPr="0052255D" w:rsidR="00874FC5">
        <w:t xml:space="preserve">  </w:t>
      </w:r>
      <w:r w:rsidR="00DF72F6">
        <w:t xml:space="preserve">As Fowler put it, he saw a “basic shadow.”  </w:t>
      </w:r>
      <w:r w:rsidR="008544D7">
        <w:t>We do not find t</w:t>
      </w:r>
      <w:r w:rsidR="006C7D47">
        <w:t xml:space="preserve">his </w:t>
      </w:r>
      <w:r w:rsidR="008544D7">
        <w:t>to be</w:t>
      </w:r>
      <w:r w:rsidR="006C7D47">
        <w:t xml:space="preserve"> the </w:t>
      </w:r>
      <w:r w:rsidR="008544D7">
        <w:t xml:space="preserve">sort of </w:t>
      </w:r>
      <w:r w:rsidR="00FA4AC9">
        <w:t xml:space="preserve">eyewitness </w:t>
      </w:r>
      <w:r w:rsidR="008544D7">
        <w:t xml:space="preserve">testimony that would have “appreciably weakened the case in aggravation.”  (Dis. opn. of Liu, J., </w:t>
      </w:r>
      <w:r w:rsidR="008544D7">
        <w:rPr>
          <w:i/>
          <w:iCs/>
        </w:rPr>
        <w:t>post</w:t>
      </w:r>
      <w:r w:rsidR="008544D7">
        <w:t xml:space="preserve">, at p. </w:t>
      </w:r>
      <w:r w:rsidR="00D502CC">
        <w:t>7</w:t>
      </w:r>
      <w:r w:rsidR="008544D7">
        <w:t xml:space="preserve">.) </w:t>
      </w:r>
    </w:p>
    <w:p w:rsidR="005C5E9F" w:rsidRPr="0052255D" w:rsidP="0052255D">
      <w:pPr>
        <w:ind w:firstLine="720"/>
      </w:pPr>
      <w:r>
        <w:t xml:space="preserve">It also bears noting that the dissent places heavy reliance only on certain </w:t>
      </w:r>
      <w:r w:rsidR="00757427">
        <w:t>details</w:t>
      </w:r>
      <w:r>
        <w:t xml:space="preserve"> </w:t>
      </w:r>
      <w:r w:rsidR="00B04AC0">
        <w:t>extracted from</w:t>
      </w:r>
      <w:r>
        <w:t xml:space="preserve"> defendant’s motion for new trial.  </w:t>
      </w:r>
      <w:r w:rsidR="00D456E4">
        <w:t xml:space="preserve">(Dis. opn. of Liu, J., </w:t>
      </w:r>
      <w:r w:rsidR="00D456E4">
        <w:rPr>
          <w:i/>
          <w:iCs/>
        </w:rPr>
        <w:t>post</w:t>
      </w:r>
      <w:r w:rsidR="00D456E4">
        <w:t>, at pp. 1, 3, 5.)</w:t>
      </w:r>
      <w:r w:rsidR="00D456E4">
        <w:rPr>
          <w:i/>
          <w:iCs/>
        </w:rPr>
        <w:t xml:space="preserve">  </w:t>
      </w:r>
      <w:r>
        <w:t xml:space="preserve">The dissent </w:t>
      </w:r>
      <w:r w:rsidR="006C2546">
        <w:t>discounts</w:t>
      </w:r>
      <w:r w:rsidR="00CC5916">
        <w:t>, for example,</w:t>
      </w:r>
      <w:r>
        <w:t xml:space="preserve"> the defense investigator’s affidavit attached to that motion declaring that Towne described the color of the shooter’s skin as black, a description </w:t>
      </w:r>
      <w:r>
        <w:rPr>
          <w:i/>
          <w:iCs/>
        </w:rPr>
        <w:t>inconsistent</w:t>
      </w:r>
      <w:r>
        <w:t xml:space="preserve"> with Carrillo’s skin color and more closely matching that of defendant.</w:t>
      </w:r>
      <w:r w:rsidR="004723D3">
        <w:t xml:space="preserve">  </w:t>
      </w:r>
      <w:r w:rsidR="00CC5916">
        <w:t xml:space="preserve">Thus, </w:t>
      </w:r>
      <w:r w:rsidR="00310C88">
        <w:t>although</w:t>
      </w:r>
      <w:r w:rsidR="0048351E">
        <w:t xml:space="preserve"> </w:t>
      </w:r>
      <w:r w:rsidRPr="0052255D" w:rsidR="00874FC5">
        <w:t xml:space="preserve">Towne’s </w:t>
      </w:r>
      <w:r w:rsidR="0048351E">
        <w:t xml:space="preserve">and Fowler’s </w:t>
      </w:r>
      <w:r w:rsidRPr="0052255D" w:rsidR="00874FC5">
        <w:t xml:space="preserve">testimony </w:t>
      </w:r>
      <w:r w:rsidR="0048351E">
        <w:t xml:space="preserve">regarding the shooter’s build </w:t>
      </w:r>
      <w:r w:rsidR="00310C88">
        <w:t>may</w:t>
      </w:r>
      <w:r w:rsidRPr="0052255D" w:rsidR="00310C88">
        <w:t xml:space="preserve"> </w:t>
      </w:r>
      <w:r w:rsidRPr="0052255D" w:rsidR="00874FC5">
        <w:t xml:space="preserve">have stood in contrast to </w:t>
      </w:r>
      <w:r w:rsidRPr="0052255D" w:rsidR="00E057A4">
        <w:t>that of Rodriguez, the third eyewitness at the Gateway Clinic, who testified that the shooter was heavyset</w:t>
      </w:r>
      <w:r w:rsidR="00310C88">
        <w:t>,</w:t>
      </w:r>
      <w:r w:rsidR="00572096">
        <w:t xml:space="preserve"> Towne’s statement that the skin color of the shooter was black, which lined up with Rodriguez’s initial statement to police officers and Fowler’s subsequent interview with defense investigators, would have pointed away from Carrillo and toward defendant.</w:t>
      </w:r>
    </w:p>
    <w:p w:rsidR="00B01C5B" w:rsidRPr="0052255D" w:rsidP="0052255D">
      <w:pPr>
        <w:ind w:firstLine="720"/>
      </w:pPr>
      <w:r>
        <w:t>In any event, t</w:t>
      </w:r>
      <w:r w:rsidRPr="0052255D" w:rsidR="00EE1B42">
        <w:t xml:space="preserve">his evidence </w:t>
      </w:r>
      <w:r w:rsidRPr="0052255D" w:rsidR="00EE15E1">
        <w:t xml:space="preserve">pales </w:t>
      </w:r>
      <w:r w:rsidRPr="0052255D" w:rsidR="007C1C6A">
        <w:t xml:space="preserve">in comparison to </w:t>
      </w:r>
      <w:r w:rsidRPr="0052255D" w:rsidR="00D64144">
        <w:t xml:space="preserve">the </w:t>
      </w:r>
      <w:r w:rsidRPr="0052255D" w:rsidR="00513479">
        <w:t>evidence at the guilt phase</w:t>
      </w:r>
      <w:r w:rsidRPr="0052255D" w:rsidR="00B91539">
        <w:t xml:space="preserve">, properly considered at the penalty phase as circumstances of the case, establishing defendant’s guilt.  </w:t>
      </w:r>
      <w:r w:rsidRPr="0052255D" w:rsidR="005C5E9F">
        <w:t xml:space="preserve">To recap:  </w:t>
      </w:r>
      <w:r w:rsidRPr="0052255D" w:rsidR="00DE2F53">
        <w:t xml:space="preserve">Masubayashi and Carrillo, both of whom </w:t>
      </w:r>
      <w:r w:rsidRPr="0052255D" w:rsidR="00783451">
        <w:t>knew defendant</w:t>
      </w:r>
      <w:r w:rsidRPr="0052255D" w:rsidR="00555223">
        <w:t xml:space="preserve"> and</w:t>
      </w:r>
      <w:r w:rsidRPr="0052255D" w:rsidR="00783451">
        <w:t xml:space="preserve"> were with him when the shooting took place,</w:t>
      </w:r>
      <w:r w:rsidRPr="0052255D" w:rsidR="0083677D">
        <w:t xml:space="preserve"> </w:t>
      </w:r>
      <w:r w:rsidRPr="0052255D" w:rsidR="00002BBA">
        <w:t xml:space="preserve">identified </w:t>
      </w:r>
      <w:r w:rsidRPr="0052255D" w:rsidR="00555223">
        <w:t xml:space="preserve">defendant </w:t>
      </w:r>
      <w:r w:rsidRPr="0052255D" w:rsidR="00DE2F53">
        <w:t>as the shooter</w:t>
      </w:r>
      <w:r w:rsidRPr="0052255D" w:rsidR="007C1C6A">
        <w:t xml:space="preserve">.  </w:t>
      </w:r>
      <w:r w:rsidRPr="0052255D" w:rsidR="00D81018">
        <w:t>Masubayashi</w:t>
      </w:r>
      <w:r w:rsidRPr="0052255D" w:rsidR="00F54EF2">
        <w:t xml:space="preserve"> </w:t>
      </w:r>
      <w:r w:rsidRPr="0052255D" w:rsidR="003808FA">
        <w:t>testified that</w:t>
      </w:r>
      <w:r w:rsidRPr="0052255D" w:rsidR="008377D1">
        <w:t xml:space="preserve"> he </w:t>
      </w:r>
      <w:r w:rsidR="00790760">
        <w:t xml:space="preserve">had observed defendant carrying a gun on the night in question, </w:t>
      </w:r>
      <w:r w:rsidRPr="0052255D" w:rsidR="008377D1">
        <w:t>saw</w:t>
      </w:r>
      <w:r w:rsidRPr="0052255D" w:rsidR="003808FA">
        <w:t xml:space="preserve"> defendant exit Masubayashi’s car, sho</w:t>
      </w:r>
      <w:r w:rsidRPr="0052255D" w:rsidR="008377D1">
        <w:t>o</w:t>
      </w:r>
      <w:r w:rsidRPr="0052255D" w:rsidR="003808FA">
        <w:t xml:space="preserve">t and kill Johnson, and then </w:t>
      </w:r>
      <w:r w:rsidRPr="0052255D" w:rsidR="008377D1">
        <w:t xml:space="preserve">reach into the car and </w:t>
      </w:r>
      <w:r w:rsidRPr="0052255D" w:rsidR="00907A89">
        <w:t>sh</w:t>
      </w:r>
      <w:r w:rsidRPr="0052255D" w:rsidR="008377D1">
        <w:t>o</w:t>
      </w:r>
      <w:r w:rsidRPr="0052255D" w:rsidR="00907A89">
        <w:t xml:space="preserve">ot Masubayashi.  Carrillo </w:t>
      </w:r>
      <w:r w:rsidRPr="0052255D" w:rsidR="001057F6">
        <w:t xml:space="preserve">testified that he </w:t>
      </w:r>
      <w:r w:rsidRPr="0052255D" w:rsidR="00B61773">
        <w:t>was with defendant when</w:t>
      </w:r>
      <w:r w:rsidRPr="0052255D" w:rsidR="00F54EF2">
        <w:t xml:space="preserve"> defendant communicated his plan to kill Johnson and Masubayashi</w:t>
      </w:r>
      <w:r w:rsidRPr="0052255D" w:rsidR="001057F6">
        <w:t xml:space="preserve">, he accompanied defendant to Johnson and Masubayashi’s apartment with the intent to lure them out and kill them, he </w:t>
      </w:r>
      <w:r w:rsidRPr="0052255D" w:rsidR="009708FC">
        <w:t>saw defendant tuck a gun in his waistband</w:t>
      </w:r>
      <w:r w:rsidRPr="0052255D" w:rsidR="005068EF">
        <w:t xml:space="preserve"> before they set out for the evening</w:t>
      </w:r>
      <w:r w:rsidRPr="0052255D" w:rsidR="001057F6">
        <w:t xml:space="preserve">, and </w:t>
      </w:r>
      <w:r w:rsidR="00C06613">
        <w:t xml:space="preserve">he </w:t>
      </w:r>
      <w:r w:rsidRPr="0052255D" w:rsidR="001057F6">
        <w:t>watched defendant shoot Johnson and Masubayashi.</w:t>
      </w:r>
      <w:r w:rsidRPr="0052255D" w:rsidR="00F54EF2">
        <w:t xml:space="preserve"> </w:t>
      </w:r>
      <w:r w:rsidRPr="0052255D" w:rsidR="009708FC">
        <w:t xml:space="preserve"> </w:t>
      </w:r>
      <w:r w:rsidRPr="0052255D" w:rsidR="00D1032C">
        <w:t xml:space="preserve">Sia Her also testified that defendant told her he was “strapped” </w:t>
      </w:r>
      <w:r w:rsidRPr="0052255D" w:rsidR="00D774BA">
        <w:t>that night</w:t>
      </w:r>
      <w:r w:rsidRPr="0052255D" w:rsidR="00D1032C">
        <w:t xml:space="preserve">.  </w:t>
      </w:r>
      <w:r w:rsidR="00CB7F8B">
        <w:t>Masubayashi, Carrillo, and defendant testified that defendant was carrying a .357 magnum handgun</w:t>
      </w:r>
      <w:r w:rsidR="001E5A85">
        <w:t xml:space="preserve">, which </w:t>
      </w:r>
      <w:r w:rsidR="00FC5212">
        <w:t>was one of two</w:t>
      </w:r>
      <w:r w:rsidR="001E5A85">
        <w:t xml:space="preserve"> </w:t>
      </w:r>
      <w:r w:rsidR="004901BE">
        <w:t xml:space="preserve">possible </w:t>
      </w:r>
      <w:r w:rsidR="001E5A85">
        <w:t>gun</w:t>
      </w:r>
      <w:r w:rsidR="00FC5212">
        <w:t>s</w:t>
      </w:r>
      <w:r w:rsidR="001E5A85">
        <w:t xml:space="preserve"> identified as firing </w:t>
      </w:r>
      <w:r w:rsidR="009C005F">
        <w:t xml:space="preserve">the bullet that killed Johnson.  </w:t>
      </w:r>
      <w:r w:rsidRPr="0052255D" w:rsidR="00D33AB0">
        <w:t>Quiambao testified that, after the shooting took place, Carrillo returned to his apartment and told him that defendant shot Johnson.</w:t>
      </w:r>
      <w:r w:rsidRPr="0052255D" w:rsidR="005F4DC8">
        <w:t xml:space="preserve">  And when </w:t>
      </w:r>
      <w:r w:rsidRPr="0052255D" w:rsidR="009D36B0">
        <w:t xml:space="preserve">defendant arrived at Quiambao’s house, he </w:t>
      </w:r>
      <w:r w:rsidRPr="0052255D" w:rsidR="00D14338">
        <w:t>di</w:t>
      </w:r>
      <w:r w:rsidRPr="0052255D" w:rsidR="009D36B0">
        <w:t xml:space="preserve">d not respond </w:t>
      </w:r>
      <w:r w:rsidRPr="0052255D" w:rsidR="001057F6">
        <w:t>to</w:t>
      </w:r>
      <w:r w:rsidRPr="0052255D" w:rsidR="00D14338">
        <w:t xml:space="preserve"> </w:t>
      </w:r>
      <w:r w:rsidRPr="0052255D" w:rsidR="005F4DC8">
        <w:t>Quiambao</w:t>
      </w:r>
      <w:r w:rsidRPr="0052255D" w:rsidR="001057F6">
        <w:t>’s question</w:t>
      </w:r>
      <w:r w:rsidRPr="0052255D" w:rsidR="00D14338">
        <w:t xml:space="preserve"> </w:t>
      </w:r>
      <w:r w:rsidR="004E61B1">
        <w:t xml:space="preserve">asking </w:t>
      </w:r>
      <w:r w:rsidRPr="0052255D" w:rsidR="005F4DC8">
        <w:t>why he shot Johnson and Masubayashi</w:t>
      </w:r>
      <w:r w:rsidRPr="0052255D" w:rsidR="009D36B0">
        <w:t xml:space="preserve">.  </w:t>
      </w:r>
      <w:r w:rsidR="009C005F">
        <w:t xml:space="preserve">Instead, when pressed, defendant told Quiambao to “shut the hell up.”  </w:t>
      </w:r>
      <w:r w:rsidRPr="0052255D" w:rsidR="001057F6">
        <w:t>D</w:t>
      </w:r>
      <w:r w:rsidRPr="0052255D" w:rsidR="009D36B0">
        <w:t xml:space="preserve">efendant </w:t>
      </w:r>
      <w:r w:rsidRPr="0052255D" w:rsidR="001057F6">
        <w:t xml:space="preserve">also </w:t>
      </w:r>
      <w:r w:rsidR="009C005F">
        <w:t>admitted to</w:t>
      </w:r>
      <w:r w:rsidRPr="0052255D" w:rsidR="009C005F">
        <w:t xml:space="preserve"> </w:t>
      </w:r>
      <w:r w:rsidRPr="0052255D" w:rsidR="001057F6">
        <w:t xml:space="preserve">Quiambao </w:t>
      </w:r>
      <w:r w:rsidRPr="0052255D" w:rsidR="009D36B0">
        <w:t>that he threw the gun</w:t>
      </w:r>
      <w:r w:rsidRPr="0052255D" w:rsidR="00D14338">
        <w:t xml:space="preserve"> away</w:t>
      </w:r>
      <w:r w:rsidRPr="0052255D" w:rsidR="009D36B0">
        <w:t>.</w:t>
      </w:r>
      <w:r w:rsidR="009F2D58">
        <w:t xml:space="preserve">  The dissenting </w:t>
      </w:r>
      <w:r w:rsidR="00C669A0">
        <w:t xml:space="preserve">opinion </w:t>
      </w:r>
      <w:r w:rsidR="009F2D58">
        <w:t xml:space="preserve">ignores </w:t>
      </w:r>
      <w:r w:rsidR="00374033">
        <w:t xml:space="preserve">the weight of the </w:t>
      </w:r>
      <w:r w:rsidR="001A0FB0">
        <w:t xml:space="preserve">testimony from </w:t>
      </w:r>
      <w:r w:rsidR="00374033">
        <w:t xml:space="preserve">Carrillo and Masubayashi, both of whom the jury found credible, and </w:t>
      </w:r>
      <w:r w:rsidR="00792231">
        <w:t>downplays</w:t>
      </w:r>
      <w:r w:rsidR="00374033">
        <w:t xml:space="preserve"> the </w:t>
      </w:r>
      <w:r w:rsidR="001A0FB0">
        <w:t xml:space="preserve">inculpatory </w:t>
      </w:r>
      <w:r w:rsidR="00374033">
        <w:t>testimony of Quiambao and Her</w:t>
      </w:r>
      <w:r w:rsidR="001A0FB0">
        <w:t>.</w:t>
      </w:r>
      <w:r w:rsidRPr="0052255D" w:rsidR="009D36B0">
        <w:t xml:space="preserve">  </w:t>
      </w:r>
    </w:p>
    <w:p w:rsidR="00B01C5B" w:rsidRPr="0052255D" w:rsidP="0052255D">
      <w:pPr>
        <w:ind w:firstLine="720"/>
      </w:pPr>
      <w:r w:rsidRPr="0052255D">
        <w:t>Moreover, b</w:t>
      </w:r>
      <w:r w:rsidRPr="0052255D">
        <w:t xml:space="preserve">eyond the circumstances of the crime, which involved </w:t>
      </w:r>
      <w:r w:rsidRPr="0052255D" w:rsidR="00554896">
        <w:t xml:space="preserve">the murder of Johnson by means of lying in wait and the attempted murder of Masubayashi, </w:t>
      </w:r>
      <w:r w:rsidRPr="0052255D">
        <w:t>the prosecution presented penalty phase</w:t>
      </w:r>
      <w:r w:rsidRPr="0052255D" w:rsidR="00554896">
        <w:t xml:space="preserve"> evidence of </w:t>
      </w:r>
      <w:r w:rsidRPr="0052255D" w:rsidR="0090324B">
        <w:t xml:space="preserve">defendant’s </w:t>
      </w:r>
      <w:r w:rsidRPr="0052255D" w:rsidR="00D1650F">
        <w:t>sexual misconduct</w:t>
      </w:r>
      <w:r w:rsidRPr="0052255D" w:rsidR="0090324B">
        <w:t xml:space="preserve"> and</w:t>
      </w:r>
      <w:r w:rsidRPr="0052255D" w:rsidR="00D1650F">
        <w:t xml:space="preserve"> two prior robberies</w:t>
      </w:r>
      <w:r w:rsidRPr="0052255D" w:rsidR="0090324B">
        <w:t xml:space="preserve"> and the testimony from several of Johnson’s family members and friends regarding the pain and suffering caused by Johnson’s death.  </w:t>
      </w:r>
      <w:r w:rsidRPr="0052255D" w:rsidR="00554896">
        <w:t xml:space="preserve"> </w:t>
      </w:r>
    </w:p>
    <w:p w:rsidR="00163890" w:rsidRPr="0052255D" w:rsidP="0052255D">
      <w:pPr>
        <w:ind w:firstLine="720"/>
      </w:pPr>
      <w:r w:rsidRPr="0052255D">
        <w:t>Significantly</w:t>
      </w:r>
      <w:r w:rsidRPr="0052255D">
        <w:t xml:space="preserve">, defendant’s penalty phase evidence focused not on lingering doubt, but </w:t>
      </w:r>
      <w:r w:rsidRPr="0052255D" w:rsidR="00F75EAC">
        <w:t xml:space="preserve">on defendant’s </w:t>
      </w:r>
      <w:r w:rsidRPr="0052255D" w:rsidR="00042949">
        <w:t xml:space="preserve">family history, background </w:t>
      </w:r>
      <w:r w:rsidRPr="0052255D" w:rsidR="00AF79BC">
        <w:t>and character, brain activity, and adjustment to prison as factors</w:t>
      </w:r>
      <w:r w:rsidRPr="0052255D" w:rsidR="00C73052">
        <w:t xml:space="preserve"> in mitigation</w:t>
      </w:r>
      <w:r w:rsidRPr="0052255D" w:rsidR="009A1EC7">
        <w:t>.  Defense counsel’s closing argument referenced lingering doubt</w:t>
      </w:r>
      <w:r w:rsidR="001A133D">
        <w:t xml:space="preserve"> only briefly</w:t>
      </w:r>
      <w:r w:rsidRPr="0052255D" w:rsidR="00557A33">
        <w:t xml:space="preserve">, conjecturing that perhaps Carrillo would admit </w:t>
      </w:r>
      <w:r w:rsidRPr="0052255D" w:rsidR="00B31695">
        <w:t xml:space="preserve">on his death bed that he was the shooter, but </w:t>
      </w:r>
      <w:r w:rsidRPr="0052255D">
        <w:t xml:space="preserve">he </w:t>
      </w:r>
      <w:r w:rsidRPr="0052255D" w:rsidR="00B31695">
        <w:t>did not mention Fowler’s testimony or any other details suggesting that defendant was not the shooter.</w:t>
      </w:r>
      <w:r w:rsidRPr="0052255D" w:rsidR="000D53A3">
        <w:t xml:space="preserve"> </w:t>
      </w:r>
      <w:r w:rsidRPr="0052255D" w:rsidR="00AB4C1C">
        <w:t xml:space="preserve"> </w:t>
      </w:r>
      <w:r w:rsidRPr="0052255D">
        <w:t>Thus, to the extent that Towne’s testimony, if admitted, might have gone to the issue of lingering doubt, defense counsel’s failure to raise the issue even given Fowler’s admitted testimony</w:t>
      </w:r>
      <w:r w:rsidR="00D13841">
        <w:t> </w:t>
      </w:r>
      <w:r w:rsidRPr="0052255D">
        <w:t>— which was essentially the same as Towne’s excluded testimony</w:t>
      </w:r>
      <w:r w:rsidR="00D13841">
        <w:t> </w:t>
      </w:r>
      <w:r w:rsidRPr="0052255D">
        <w:t xml:space="preserve">— serves to further underscore the inconsequential nature of the error.  </w:t>
      </w:r>
      <w:r w:rsidRPr="0052255D" w:rsidR="00FF016F">
        <w:t>Moreover, t</w:t>
      </w:r>
      <w:r w:rsidRPr="0052255D" w:rsidR="00CB0C11">
        <w:t>he trial court properly instructed the jury on lingering doubt</w:t>
      </w:r>
      <w:r w:rsidRPr="0052255D" w:rsidR="00AB4C1C">
        <w:t>, and the jury reached a verdict only a few hours after beginning their deliberations</w:t>
      </w:r>
      <w:r w:rsidRPr="0052255D" w:rsidR="00D37673">
        <w:t>.</w:t>
      </w:r>
    </w:p>
    <w:p w:rsidR="009D433C" w:rsidRPr="0052255D" w:rsidP="0052255D">
      <w:pPr>
        <w:ind w:firstLine="720"/>
      </w:pPr>
      <w:r w:rsidRPr="0052255D">
        <w:t>In light of these circumstances</w:t>
      </w:r>
      <w:r w:rsidRPr="0052255D" w:rsidR="00A85ECC">
        <w:t xml:space="preserve">, </w:t>
      </w:r>
      <w:r w:rsidRPr="0052255D" w:rsidR="00773C11">
        <w:t xml:space="preserve">we conclude </w:t>
      </w:r>
      <w:r w:rsidRPr="0052255D" w:rsidR="00A85ECC">
        <w:t>there is no reasonable possibility that</w:t>
      </w:r>
      <w:r w:rsidRPr="0052255D" w:rsidR="00904B5A">
        <w:t xml:space="preserve"> the additional testimony defendant could have elicited from Towne would have </w:t>
      </w:r>
      <w:r w:rsidRPr="0052255D" w:rsidR="00832A72">
        <w:t>affected</w:t>
      </w:r>
      <w:r w:rsidRPr="0052255D" w:rsidR="00904B5A">
        <w:t xml:space="preserve"> the jury’s </w:t>
      </w:r>
      <w:r w:rsidRPr="0052255D" w:rsidR="00832A72">
        <w:t>verdict</w:t>
      </w:r>
      <w:r w:rsidRPr="0052255D" w:rsidR="003D5CAC">
        <w:t xml:space="preserve"> at the penalty phase</w:t>
      </w:r>
      <w:r w:rsidRPr="0052255D" w:rsidR="00904B5A">
        <w:t>.</w:t>
      </w:r>
      <w:r w:rsidRPr="0052255D" w:rsidR="00A85ECC">
        <w:t xml:space="preserve"> </w:t>
      </w:r>
      <w:r w:rsidRPr="0052255D" w:rsidR="00900C28">
        <w:t xml:space="preserve"> </w:t>
      </w:r>
      <w:r w:rsidRPr="0052255D" w:rsidR="00EE0136">
        <w:t xml:space="preserve"> </w:t>
      </w:r>
    </w:p>
    <w:p w:rsidR="000B6247" w:rsidRPr="0052255D" w:rsidP="0052255D">
      <w:pPr>
        <w:pStyle w:val="Heading3"/>
      </w:pPr>
      <w:bookmarkStart w:id="31" w:name="_Toc94515350"/>
      <w:r w:rsidRPr="0052255D">
        <w:t>2</w:t>
      </w:r>
      <w:r w:rsidRPr="0052255D">
        <w:t xml:space="preserve">.  </w:t>
      </w:r>
      <w:r w:rsidRPr="0052255D" w:rsidR="000E39D2">
        <w:t>I</w:t>
      </w:r>
      <w:r w:rsidRPr="0052255D">
        <w:t>nstruction</w:t>
      </w:r>
      <w:r w:rsidRPr="0052255D" w:rsidR="002D6FAF">
        <w:t xml:space="preserve"> </w:t>
      </w:r>
      <w:r w:rsidRPr="0052255D" w:rsidR="004E0B26">
        <w:t xml:space="preserve">on </w:t>
      </w:r>
      <w:r w:rsidRPr="0052255D">
        <w:t>d</w:t>
      </w:r>
      <w:r w:rsidRPr="0052255D" w:rsidR="004E0B26">
        <w:t xml:space="preserve">eliberations </w:t>
      </w:r>
      <w:r w:rsidRPr="0052255D" w:rsidR="005D5B4D">
        <w:t>with</w:t>
      </w:r>
      <w:r w:rsidRPr="0052255D" w:rsidR="002D6FAF">
        <w:t xml:space="preserve"> </w:t>
      </w:r>
      <w:r w:rsidRPr="0052255D">
        <w:t>a</w:t>
      </w:r>
      <w:r w:rsidRPr="0052255D" w:rsidR="00FB6373">
        <w:t xml:space="preserve">lternate </w:t>
      </w:r>
      <w:r w:rsidRPr="0052255D">
        <w:t>j</w:t>
      </w:r>
      <w:r w:rsidRPr="0052255D" w:rsidR="00FB6373">
        <w:t>uror</w:t>
      </w:r>
      <w:r w:rsidRPr="0052255D" w:rsidR="002D6FAF">
        <w:t xml:space="preserve"> </w:t>
      </w:r>
      <w:r w:rsidRPr="0052255D">
        <w:t>s</w:t>
      </w:r>
      <w:r w:rsidRPr="0052255D" w:rsidR="004E0B26">
        <w:t xml:space="preserve">ubstituted at </w:t>
      </w:r>
      <w:r w:rsidRPr="0052255D">
        <w:t>p</w:t>
      </w:r>
      <w:r w:rsidRPr="0052255D" w:rsidR="004E0B26">
        <w:t xml:space="preserve">enalty </w:t>
      </w:r>
      <w:r w:rsidRPr="0052255D">
        <w:t>p</w:t>
      </w:r>
      <w:r w:rsidRPr="0052255D" w:rsidR="004E0B26">
        <w:t xml:space="preserve">hase </w:t>
      </w:r>
      <w:bookmarkEnd w:id="31"/>
    </w:p>
    <w:p w:rsidR="00841911" w:rsidRPr="0052255D" w:rsidP="0052255D">
      <w:pPr>
        <w:tabs>
          <w:tab w:val="left" w:pos="1440"/>
        </w:tabs>
        <w:ind w:firstLine="720"/>
      </w:pPr>
      <w:r w:rsidRPr="0052255D">
        <w:t xml:space="preserve">Following the guilt phase verdicts, the trial court </w:t>
      </w:r>
      <w:r w:rsidRPr="0052255D" w:rsidR="004C0185">
        <w:t xml:space="preserve">excused </w:t>
      </w:r>
      <w:r w:rsidRPr="0052255D" w:rsidR="00D83FB4">
        <w:t>one of the seated jurors</w:t>
      </w:r>
      <w:r w:rsidRPr="0052255D" w:rsidR="00561B19">
        <w:t xml:space="preserve">, who was replaced </w:t>
      </w:r>
      <w:r w:rsidRPr="0052255D" w:rsidR="00D83FB4">
        <w:t xml:space="preserve">with an alternate juror </w:t>
      </w:r>
      <w:r w:rsidRPr="0052255D" w:rsidR="00DA22BE">
        <w:t xml:space="preserve">for the penalty phase.  </w:t>
      </w:r>
      <w:r w:rsidRPr="0052255D" w:rsidR="00802353">
        <w:t>Defendant claims th</w:t>
      </w:r>
      <w:r w:rsidRPr="0052255D" w:rsidR="00AD5692">
        <w:t xml:space="preserve">e trial court’s special instruction </w:t>
      </w:r>
      <w:r w:rsidRPr="0052255D">
        <w:t>requiring</w:t>
      </w:r>
      <w:r w:rsidRPr="0052255D" w:rsidR="00AD5692">
        <w:t xml:space="preserve"> the penalty phase jury </w:t>
      </w:r>
      <w:r w:rsidRPr="0052255D">
        <w:t xml:space="preserve">to accept the guilt phase verdicts and findings violated his state and federal constitutional rights to a fair trial, due process, and a reliable determination of penalty. </w:t>
      </w:r>
    </w:p>
    <w:p w:rsidR="000B6247" w:rsidRPr="0052255D" w:rsidP="0052255D">
      <w:pPr>
        <w:tabs>
          <w:tab w:val="left" w:pos="1440"/>
        </w:tabs>
        <w:ind w:firstLine="720"/>
      </w:pPr>
      <w:r w:rsidRPr="0052255D">
        <w:t xml:space="preserve">The </w:t>
      </w:r>
      <w:r w:rsidRPr="0052255D" w:rsidR="0005512F">
        <w:t xml:space="preserve">trial </w:t>
      </w:r>
      <w:r w:rsidRPr="0052255D">
        <w:t xml:space="preserve">court instructed the </w:t>
      </w:r>
      <w:r w:rsidRPr="0052255D" w:rsidR="0005512F">
        <w:t xml:space="preserve">penalty phase </w:t>
      </w:r>
      <w:r w:rsidRPr="0052255D">
        <w:t xml:space="preserve">jury </w:t>
      </w:r>
      <w:r w:rsidRPr="0052255D" w:rsidR="00742E9C">
        <w:t>that “[f]or the purposes of this penalty phase of the trial, the alternate juror must accept as having been proved b</w:t>
      </w:r>
      <w:r w:rsidRPr="0052255D" w:rsidR="00FE4DA6">
        <w:t>e</w:t>
      </w:r>
      <w:r w:rsidRPr="0052255D" w:rsidR="00742E9C">
        <w:t>yond a reasonable doubt those guilty verdicts and true findings rendered by the jury in the guilt phase of this trial</w:t>
      </w:r>
      <w:r w:rsidRPr="0052255D" w:rsidR="00B662A4">
        <w:t xml:space="preserve">.”  </w:t>
      </w:r>
      <w:r w:rsidRPr="0052255D" w:rsidR="00263306">
        <w:t xml:space="preserve">The court </w:t>
      </w:r>
      <w:r w:rsidRPr="0052255D" w:rsidR="00B14796">
        <w:t xml:space="preserve">also instructed the jury </w:t>
      </w:r>
      <w:r w:rsidRPr="0052255D" w:rsidR="008552C5">
        <w:t xml:space="preserve">that “if any individual juror has a lingering or residual doubt about whether the defendant killed the victim, he or she must consider it as a mitigating factor and assign to it the weight you deem appropriate.”    </w:t>
      </w:r>
    </w:p>
    <w:p w:rsidR="009501E3" w:rsidRPr="0052255D" w:rsidP="0052255D">
      <w:pPr>
        <w:tabs>
          <w:tab w:val="left" w:pos="1440"/>
        </w:tabs>
        <w:ind w:firstLine="720"/>
      </w:pPr>
      <w:r w:rsidRPr="0052255D">
        <w:t xml:space="preserve">We have </w:t>
      </w:r>
      <w:r w:rsidRPr="0052255D" w:rsidR="00A54811">
        <w:t xml:space="preserve">on numerous occasions considered and rejected </w:t>
      </w:r>
      <w:r w:rsidRPr="0052255D" w:rsidR="00C66E1E">
        <w:t xml:space="preserve">the </w:t>
      </w:r>
      <w:r w:rsidRPr="0052255D" w:rsidR="00A54811">
        <w:t xml:space="preserve">argument that </w:t>
      </w:r>
      <w:r w:rsidRPr="0052255D" w:rsidR="00C66E1E">
        <w:t>th</w:t>
      </w:r>
      <w:r w:rsidRPr="0052255D" w:rsidR="003D5CAC">
        <w:t>is</w:t>
      </w:r>
      <w:r w:rsidRPr="0052255D" w:rsidR="00C66E1E">
        <w:t xml:space="preserve"> special instruction is constitutionally defective.  (See, e.g., </w:t>
      </w:r>
      <w:r w:rsidRPr="0052255D" w:rsidR="00C66E1E">
        <w:rPr>
          <w:i/>
          <w:iCs/>
        </w:rPr>
        <w:t xml:space="preserve">People v. Cain </w:t>
      </w:r>
      <w:r w:rsidRPr="0052255D" w:rsidR="00C66E1E">
        <w:t>(1995) 10 Cal.4th 1</w:t>
      </w:r>
      <w:r w:rsidRPr="0052255D" w:rsidR="00344D30">
        <w:t xml:space="preserve">, </w:t>
      </w:r>
      <w:r w:rsidRPr="0052255D" w:rsidR="00352089">
        <w:t>64–6</w:t>
      </w:r>
      <w:r w:rsidRPr="0052255D" w:rsidR="003E067A">
        <w:t>6</w:t>
      </w:r>
      <w:r w:rsidRPr="0052255D" w:rsidR="00930F11">
        <w:t xml:space="preserve"> (</w:t>
      </w:r>
      <w:r w:rsidRPr="0052255D" w:rsidR="00930F11">
        <w:rPr>
          <w:i/>
          <w:iCs/>
        </w:rPr>
        <w:t>Cain</w:t>
      </w:r>
      <w:r w:rsidRPr="0052255D" w:rsidR="00930F11">
        <w:t>)</w:t>
      </w:r>
      <w:r w:rsidRPr="0052255D" w:rsidR="00F20F7C">
        <w:t xml:space="preserve">; </w:t>
      </w:r>
      <w:r w:rsidRPr="0052255D" w:rsidR="00F20F7C">
        <w:rPr>
          <w:i/>
          <w:iCs/>
        </w:rPr>
        <w:t>id.</w:t>
      </w:r>
      <w:r w:rsidR="0000455D">
        <w:t>,</w:t>
      </w:r>
      <w:r w:rsidRPr="0052255D" w:rsidR="00F20F7C">
        <w:t xml:space="preserve"> at p. 67 [“An instruction that allows the jurors to vote against the death penalty phase if they have residual doubt as to guilt or truth of the special circumstances is sufficient even though it requires the </w:t>
      </w:r>
      <w:r w:rsidRPr="0052255D" w:rsidR="00135446">
        <w:t xml:space="preserve">[alternate] </w:t>
      </w:r>
      <w:r w:rsidRPr="0052255D" w:rsidR="00F20F7C">
        <w:t>jurors to accept the guilt phase verdicts</w:t>
      </w:r>
      <w:r w:rsidRPr="0052255D" w:rsidR="00135446">
        <w:t>”]</w:t>
      </w:r>
      <w:r w:rsidRPr="0052255D" w:rsidR="00352089">
        <w:t>.)  Most recently, in</w:t>
      </w:r>
      <w:r w:rsidRPr="0052255D" w:rsidR="002674D7">
        <w:t xml:space="preserve"> </w:t>
      </w:r>
      <w:r w:rsidRPr="0052255D" w:rsidR="002674D7">
        <w:rPr>
          <w:i/>
          <w:iCs/>
        </w:rPr>
        <w:t xml:space="preserve">People v. Miles </w:t>
      </w:r>
      <w:r w:rsidRPr="0052255D" w:rsidR="002674D7">
        <w:t>(2020) 9 Cal.5th 513</w:t>
      </w:r>
      <w:r w:rsidRPr="0052255D" w:rsidR="00523695">
        <w:t xml:space="preserve">, </w:t>
      </w:r>
      <w:r w:rsidRPr="0052255D" w:rsidR="00763764">
        <w:t>604,</w:t>
      </w:r>
      <w:r w:rsidRPr="0052255D" w:rsidR="00763764">
        <w:rPr>
          <w:color w:val="FF0000"/>
        </w:rPr>
        <w:t xml:space="preserve"> </w:t>
      </w:r>
      <w:r w:rsidRPr="0052255D" w:rsidR="00352089">
        <w:t xml:space="preserve">we </w:t>
      </w:r>
      <w:r w:rsidRPr="0052255D" w:rsidR="00F96940">
        <w:t>st</w:t>
      </w:r>
      <w:r w:rsidRPr="0052255D" w:rsidR="00F16C63">
        <w:t xml:space="preserve">ated:  </w:t>
      </w:r>
      <w:r w:rsidRPr="0052255D" w:rsidR="00523695">
        <w:t>“</w:t>
      </w:r>
      <w:r w:rsidRPr="0052255D" w:rsidR="00F16C63">
        <w:t>W</w:t>
      </w:r>
      <w:r w:rsidRPr="0052255D" w:rsidR="00523695">
        <w:t xml:space="preserve">e have made clear that ‘[a]s a matter of law, the penalty phase jury must conclusively accept [the guilt phase jury’s] findings’ as to the defendant’s guilt and the truth of the special circumstance allegations beyond a reasonable doubt.  [Citation.]  We have also rejected the suggestion ‘that anytime a juror is replaced at the penalty phase, the jury should engage in guilt phase deliberations anew.’  [Citation.]  And, most notably, in </w:t>
      </w:r>
      <w:r w:rsidRPr="0052255D" w:rsidR="00523695">
        <w:rPr>
          <w:i/>
          <w:iCs/>
        </w:rPr>
        <w:t>People v. Cain</w:t>
      </w:r>
      <w:r w:rsidRPr="0052255D" w:rsidR="00F16C63">
        <w:t>[</w:t>
      </w:r>
      <w:r w:rsidR="008178EC">
        <w:t xml:space="preserve"> </w:t>
      </w:r>
      <w:r w:rsidRPr="0052255D" w:rsidR="00763764">
        <w:t>],</w:t>
      </w:r>
      <w:r w:rsidRPr="0052255D" w:rsidR="00932379">
        <w:t xml:space="preserve"> </w:t>
      </w:r>
      <w:r w:rsidRPr="0052255D" w:rsidR="00523695">
        <w:t>we found no constitutional defect in the trial court instructing the jury, including a new juror who replaced an excused juror, that it must accept the guilt phase verdicts and findings at the penalty phase.</w:t>
      </w:r>
      <w:r w:rsidRPr="0052255D" w:rsidR="00932379">
        <w:t xml:space="preserve">” </w:t>
      </w:r>
      <w:r w:rsidRPr="0052255D" w:rsidR="00523695">
        <w:t xml:space="preserve"> </w:t>
      </w:r>
      <w:r w:rsidRPr="0052255D" w:rsidR="00763764">
        <w:t>W</w:t>
      </w:r>
      <w:r w:rsidRPr="0052255D" w:rsidR="007D4FD0">
        <w:t>e</w:t>
      </w:r>
      <w:r w:rsidRPr="0052255D" w:rsidR="000C5377">
        <w:t xml:space="preserve"> also </w:t>
      </w:r>
      <w:r w:rsidRPr="0052255D" w:rsidR="00A97EE5">
        <w:t xml:space="preserve">reiterated </w:t>
      </w:r>
      <w:r w:rsidRPr="0052255D" w:rsidR="00722EE9">
        <w:t xml:space="preserve">in </w:t>
      </w:r>
      <w:r w:rsidRPr="0052255D" w:rsidR="00722EE9">
        <w:rPr>
          <w:i/>
          <w:iCs/>
        </w:rPr>
        <w:t xml:space="preserve">Miles </w:t>
      </w:r>
      <w:r w:rsidRPr="0052255D" w:rsidR="00A97EE5">
        <w:t xml:space="preserve">that </w:t>
      </w:r>
      <w:r w:rsidRPr="0052255D" w:rsidR="0070314E">
        <w:t xml:space="preserve">an instruction </w:t>
      </w:r>
      <w:r w:rsidRPr="0052255D" w:rsidR="000831C1">
        <w:t>regarding</w:t>
      </w:r>
      <w:r w:rsidRPr="0052255D" w:rsidR="0070314E">
        <w:t xml:space="preserve"> lingering doubt as a mitigating factor </w:t>
      </w:r>
      <w:r w:rsidRPr="0052255D" w:rsidR="00314F1D">
        <w:t>sufficiently apprise</w:t>
      </w:r>
      <w:r w:rsidRPr="0052255D" w:rsidR="00026E83">
        <w:t xml:space="preserve">s </w:t>
      </w:r>
      <w:r w:rsidRPr="0052255D" w:rsidR="0070314E">
        <w:t>alternate juror</w:t>
      </w:r>
      <w:r w:rsidRPr="0052255D" w:rsidR="00026E83">
        <w:t>s</w:t>
      </w:r>
      <w:r w:rsidRPr="0052255D" w:rsidR="0070314E">
        <w:t xml:space="preserve"> that </w:t>
      </w:r>
      <w:r w:rsidRPr="0052255D" w:rsidR="00026E83">
        <w:t>they</w:t>
      </w:r>
      <w:r w:rsidRPr="0052255D" w:rsidR="0070314E">
        <w:t xml:space="preserve"> </w:t>
      </w:r>
      <w:r w:rsidRPr="0052255D" w:rsidR="00CF1ABE">
        <w:t xml:space="preserve">may </w:t>
      </w:r>
      <w:r w:rsidRPr="0052255D" w:rsidR="0070314E">
        <w:t xml:space="preserve">vote against the death penalty if </w:t>
      </w:r>
      <w:r w:rsidRPr="0052255D" w:rsidR="00026E83">
        <w:t>th</w:t>
      </w:r>
      <w:r w:rsidRPr="0052255D" w:rsidR="0070314E">
        <w:t>e</w:t>
      </w:r>
      <w:r w:rsidRPr="0052255D" w:rsidR="00026E83">
        <w:t>y</w:t>
      </w:r>
      <w:r w:rsidRPr="0052255D" w:rsidR="0070314E">
        <w:t xml:space="preserve"> doubt </w:t>
      </w:r>
      <w:r w:rsidRPr="0052255D" w:rsidR="00026E83">
        <w:t xml:space="preserve">the </w:t>
      </w:r>
      <w:r w:rsidRPr="0052255D" w:rsidR="0070314E">
        <w:t>defendant’s guilt</w:t>
      </w:r>
      <w:r w:rsidRPr="0052255D" w:rsidR="00F54249">
        <w:t>.  (</w:t>
      </w:r>
      <w:r w:rsidRPr="0052255D" w:rsidR="00C611EB">
        <w:rPr>
          <w:i/>
          <w:iCs/>
        </w:rPr>
        <w:t>Miles</w:t>
      </w:r>
      <w:r w:rsidRPr="0052255D" w:rsidR="00C611EB">
        <w:t>, at p. 604,</w:t>
      </w:r>
      <w:r w:rsidRPr="0052255D" w:rsidR="00F54249">
        <w:t xml:space="preserve"> citing </w:t>
      </w:r>
      <w:r w:rsidRPr="0052255D" w:rsidR="000C5377">
        <w:rPr>
          <w:i/>
          <w:iCs/>
        </w:rPr>
        <w:t xml:space="preserve">People v. Kaurish </w:t>
      </w:r>
      <w:r w:rsidRPr="0052255D" w:rsidR="000C5377">
        <w:t>(1990) 52 Cal.3d 648</w:t>
      </w:r>
      <w:r w:rsidRPr="0052255D" w:rsidR="002F7D8C">
        <w:t xml:space="preserve">, 708; </w:t>
      </w:r>
      <w:r w:rsidRPr="0052255D" w:rsidR="0057625D">
        <w:t xml:space="preserve">see </w:t>
      </w:r>
      <w:r w:rsidRPr="0052255D" w:rsidR="003724E4">
        <w:t xml:space="preserve">also </w:t>
      </w:r>
      <w:r w:rsidRPr="0052255D" w:rsidR="002F7D8C">
        <w:rPr>
          <w:i/>
          <w:iCs/>
        </w:rPr>
        <w:t>Cain</w:t>
      </w:r>
      <w:r w:rsidRPr="0052255D" w:rsidR="002F7D8C">
        <w:t>, at p. 67</w:t>
      </w:r>
      <w:r w:rsidRPr="0052255D" w:rsidR="0025208F">
        <w:t xml:space="preserve">; </w:t>
      </w:r>
      <w:r w:rsidRPr="0052255D" w:rsidR="00ED443D">
        <w:rPr>
          <w:i/>
          <w:iCs/>
        </w:rPr>
        <w:t xml:space="preserve">People v. Nguyen </w:t>
      </w:r>
      <w:r w:rsidRPr="0052255D" w:rsidR="00ED443D">
        <w:t>(2015) 61</w:t>
      </w:r>
      <w:r w:rsidRPr="0052255D" w:rsidR="00E9019B">
        <w:t> </w:t>
      </w:r>
      <w:r w:rsidRPr="0052255D" w:rsidR="00ED443D">
        <w:t xml:space="preserve">Cal.4th 1015, </w:t>
      </w:r>
      <w:r w:rsidRPr="0052255D" w:rsidR="006732C4">
        <w:t xml:space="preserve">1089 </w:t>
      </w:r>
      <w:r w:rsidRPr="0052255D" w:rsidR="00CE01F5">
        <w:t>[“There is no reason to think that the jurors would have interpreted the instructions to permit only the original jurors, and not the former alternate jurors, to consider lingering doubt”]</w:t>
      </w:r>
      <w:r w:rsidRPr="0052255D" w:rsidR="00F54249">
        <w:t xml:space="preserve">.)  </w:t>
      </w:r>
      <w:r w:rsidRPr="0052255D" w:rsidR="001E6710">
        <w:t xml:space="preserve">Defendant offers no reasoned basis for us to reconsider our previously expressed view.  </w:t>
      </w:r>
    </w:p>
    <w:p w:rsidR="000B6247" w:rsidRPr="0052255D" w:rsidP="0052255D">
      <w:pPr>
        <w:pStyle w:val="Heading3"/>
      </w:pPr>
      <w:bookmarkStart w:id="32" w:name="_Toc94515351"/>
      <w:r w:rsidRPr="0052255D">
        <w:t>3</w:t>
      </w:r>
      <w:r w:rsidRPr="0052255D">
        <w:t xml:space="preserve">.  </w:t>
      </w:r>
      <w:r w:rsidRPr="0052255D" w:rsidR="00A36975">
        <w:t>Admission</w:t>
      </w:r>
      <w:r w:rsidRPr="0052255D">
        <w:t xml:space="preserve"> of </w:t>
      </w:r>
      <w:r w:rsidRPr="0052255D">
        <w:t>j</w:t>
      </w:r>
      <w:r w:rsidRPr="0052255D">
        <w:t xml:space="preserve">uvenile </w:t>
      </w:r>
      <w:r w:rsidRPr="0052255D">
        <w:t>c</w:t>
      </w:r>
      <w:r w:rsidRPr="0052255D">
        <w:t xml:space="preserve">riminal </w:t>
      </w:r>
      <w:r w:rsidRPr="0052255D">
        <w:t>h</w:t>
      </w:r>
      <w:r w:rsidRPr="0052255D">
        <w:t>istory</w:t>
      </w:r>
      <w:bookmarkEnd w:id="32"/>
    </w:p>
    <w:p w:rsidR="00E7377B" w:rsidRPr="0052255D" w:rsidP="00851754">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 xml:space="preserve">Defendant asserts the jury’s consideration of his juvenile criminal history violated his federal constitutional rights under the Eighth and Fourteenth Amendments.  </w:t>
      </w:r>
      <w:r w:rsidRPr="0052255D" w:rsidR="00755F6B">
        <w:rPr>
          <w:rFonts w:ascii="Century Schoolbook" w:hAnsi="Century Schoolbook"/>
          <w:sz w:val="27"/>
        </w:rPr>
        <w:t>He contends that recent United States Supreme Cou</w:t>
      </w:r>
      <w:r w:rsidRPr="0052255D" w:rsidR="00CC72AF">
        <w:rPr>
          <w:rFonts w:ascii="Century Schoolbook" w:hAnsi="Century Schoolbook"/>
          <w:sz w:val="27"/>
        </w:rPr>
        <w:t xml:space="preserve">rt decisions applying </w:t>
      </w:r>
      <w:r w:rsidRPr="0052255D" w:rsidR="00CB7F0A">
        <w:rPr>
          <w:rFonts w:ascii="Century Schoolbook" w:hAnsi="Century Schoolbook"/>
          <w:sz w:val="27"/>
        </w:rPr>
        <w:t xml:space="preserve">the </w:t>
      </w:r>
      <w:r w:rsidRPr="0052255D" w:rsidR="00CC72AF">
        <w:rPr>
          <w:rFonts w:ascii="Century Schoolbook" w:hAnsi="Century Schoolbook"/>
          <w:sz w:val="27"/>
        </w:rPr>
        <w:t xml:space="preserve">Eighth Amendment to juveniles undercuts the use of juvenile criminal activity as an aggravating factor in determining whether to </w:t>
      </w:r>
      <w:r w:rsidRPr="0052255D" w:rsidR="003C2054">
        <w:rPr>
          <w:rFonts w:ascii="Century Schoolbook" w:hAnsi="Century Schoolbook"/>
          <w:sz w:val="27"/>
        </w:rPr>
        <w:t xml:space="preserve">impose a death sentence.  </w:t>
      </w:r>
      <w:r w:rsidRPr="0052255D" w:rsidR="006A0721">
        <w:rPr>
          <w:rFonts w:ascii="Century Schoolbook" w:hAnsi="Century Schoolbook"/>
          <w:sz w:val="27"/>
        </w:rPr>
        <w:t>W</w:t>
      </w:r>
      <w:r w:rsidRPr="0052255D">
        <w:rPr>
          <w:rFonts w:ascii="Century Schoolbook" w:hAnsi="Century Schoolbook"/>
          <w:sz w:val="27"/>
        </w:rPr>
        <w:t xml:space="preserve">e conclude </w:t>
      </w:r>
      <w:r w:rsidRPr="0052255D" w:rsidR="003C2054">
        <w:rPr>
          <w:rFonts w:ascii="Century Schoolbook" w:hAnsi="Century Schoolbook"/>
          <w:sz w:val="27"/>
        </w:rPr>
        <w:t>otherwise</w:t>
      </w:r>
      <w:r w:rsidRPr="0052255D">
        <w:rPr>
          <w:rFonts w:ascii="Century Schoolbook" w:hAnsi="Century Schoolbook"/>
          <w:sz w:val="27"/>
        </w:rPr>
        <w:t>.</w:t>
      </w:r>
    </w:p>
    <w:p w:rsidR="00E7377B" w:rsidRPr="0052255D" w:rsidP="00851754">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 xml:space="preserve">During the penalty phase, the prosecution presented evidence that when defendant was 13 years old, he exposed himself to two female students and touched their buttocks and breasts.  The prosecution also presented evidence that defendant robbed and assaulted </w:t>
      </w:r>
      <w:r w:rsidRPr="0052255D" w:rsidR="00E374E8">
        <w:rPr>
          <w:rFonts w:ascii="Century Schoolbook" w:hAnsi="Century Schoolbook"/>
          <w:sz w:val="27"/>
        </w:rPr>
        <w:t xml:space="preserve">Thomas </w:t>
      </w:r>
      <w:r w:rsidRPr="0052255D">
        <w:rPr>
          <w:rFonts w:ascii="Century Schoolbook" w:hAnsi="Century Schoolbook"/>
          <w:sz w:val="27"/>
        </w:rPr>
        <w:t>Kinsey when defendant was age 16</w:t>
      </w:r>
      <w:r w:rsidRPr="0052255D">
        <w:rPr>
          <w:rFonts w:ascii="Century Schoolbook" w:hAnsi="Century Schoolbook"/>
          <w:color w:val="auto"/>
          <w:sz w:val="27"/>
        </w:rPr>
        <w:t xml:space="preserve">.  </w:t>
      </w:r>
    </w:p>
    <w:p w:rsidR="000B6247" w:rsidRPr="0052255D" w:rsidP="00851754">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 xml:space="preserve">Juvenile criminal activity involving </w:t>
      </w:r>
      <w:r w:rsidRPr="0052255D" w:rsidR="00624D62">
        <w:rPr>
          <w:rFonts w:ascii="Century Schoolbook" w:hAnsi="Century Schoolbook"/>
          <w:sz w:val="27"/>
        </w:rPr>
        <w:t xml:space="preserve">the use or attempted use of </w:t>
      </w:r>
      <w:r w:rsidRPr="0052255D">
        <w:rPr>
          <w:rFonts w:ascii="Century Schoolbook" w:hAnsi="Century Schoolbook"/>
          <w:sz w:val="27"/>
        </w:rPr>
        <w:t xml:space="preserve">force or violence is admissible as aggravating evidence under section 190.3, factor (b).  </w:t>
      </w:r>
      <w:r w:rsidRPr="0052255D">
        <w:rPr>
          <w:rFonts w:ascii="Century Schoolbook" w:hAnsi="Century Schoolbook"/>
          <w:color w:val="auto"/>
          <w:sz w:val="27"/>
        </w:rPr>
        <w:t>(</w:t>
      </w:r>
      <w:r w:rsidRPr="0052255D">
        <w:rPr>
          <w:rFonts w:ascii="Century Schoolbook" w:hAnsi="Century Schoolbook"/>
          <w:i/>
          <w:iCs/>
          <w:color w:val="auto"/>
          <w:sz w:val="27"/>
        </w:rPr>
        <w:t>People v. Taylor</w:t>
      </w:r>
      <w:r w:rsidRPr="0052255D">
        <w:rPr>
          <w:rFonts w:ascii="Century Schoolbook" w:hAnsi="Century Schoolbook"/>
          <w:color w:val="auto"/>
          <w:sz w:val="27"/>
        </w:rPr>
        <w:t xml:space="preserve"> </w:t>
      </w:r>
      <w:r w:rsidR="00A9048E">
        <w:rPr>
          <w:rFonts w:ascii="Century Schoolbook" w:hAnsi="Century Schoolbook"/>
          <w:color w:val="auto"/>
          <w:sz w:val="27"/>
        </w:rPr>
        <w:t>(</w:t>
      </w:r>
      <w:r w:rsidRPr="0052255D">
        <w:rPr>
          <w:rFonts w:ascii="Century Schoolbook" w:hAnsi="Century Schoolbook"/>
          <w:color w:val="auto"/>
          <w:sz w:val="27"/>
        </w:rPr>
        <w:t>2010) 48</w:t>
      </w:r>
      <w:r w:rsidRPr="0052255D" w:rsidR="00E9019B">
        <w:rPr>
          <w:rFonts w:ascii="Century Schoolbook" w:hAnsi="Century Schoolbook"/>
          <w:color w:val="auto"/>
          <w:sz w:val="27"/>
        </w:rPr>
        <w:t> </w:t>
      </w:r>
      <w:r w:rsidRPr="0052255D">
        <w:rPr>
          <w:rFonts w:ascii="Century Schoolbook" w:hAnsi="Century Schoolbook"/>
          <w:color w:val="auto"/>
          <w:sz w:val="27"/>
        </w:rPr>
        <w:t xml:space="preserve">Cal.4th 574, 652.)  </w:t>
      </w:r>
      <w:r w:rsidRPr="0052255D" w:rsidR="00913894">
        <w:rPr>
          <w:rFonts w:ascii="Century Schoolbook" w:hAnsi="Century Schoolbook"/>
          <w:sz w:val="27"/>
        </w:rPr>
        <w:t>We have repeatedly</w:t>
      </w:r>
      <w:r w:rsidRPr="0052255D">
        <w:rPr>
          <w:rFonts w:ascii="Century Schoolbook" w:hAnsi="Century Schoolbook"/>
          <w:sz w:val="27"/>
        </w:rPr>
        <w:t xml:space="preserve"> held that the admission of such evidence is constitutional</w:t>
      </w:r>
      <w:r w:rsidRPr="0052255D">
        <w:rPr>
          <w:rFonts w:ascii="Century Schoolbook" w:hAnsi="Century Schoolbook"/>
          <w:color w:val="auto"/>
          <w:sz w:val="27"/>
        </w:rPr>
        <w:t>.  (</w:t>
      </w:r>
      <w:r w:rsidRPr="0052255D" w:rsidR="00913894">
        <w:rPr>
          <w:rFonts w:ascii="Century Schoolbook" w:hAnsi="Century Schoolbook"/>
          <w:color w:val="auto"/>
          <w:sz w:val="27"/>
        </w:rPr>
        <w:t xml:space="preserve">E.g., </w:t>
      </w:r>
      <w:r w:rsidRPr="0052255D">
        <w:rPr>
          <w:rFonts w:ascii="Century Schoolbook" w:hAnsi="Century Schoolbook"/>
          <w:i/>
          <w:iCs/>
          <w:color w:val="auto"/>
          <w:sz w:val="27"/>
        </w:rPr>
        <w:t xml:space="preserve">People v. Lee </w:t>
      </w:r>
      <w:r w:rsidRPr="0052255D" w:rsidR="00DC02F8">
        <w:rPr>
          <w:rFonts w:ascii="Century Schoolbook" w:hAnsi="Century Schoolbook"/>
          <w:color w:val="auto"/>
          <w:sz w:val="27"/>
        </w:rPr>
        <w:t>(2011)</w:t>
      </w:r>
      <w:r w:rsidRPr="0052255D">
        <w:rPr>
          <w:rFonts w:ascii="Century Schoolbook" w:hAnsi="Century Schoolbook"/>
          <w:color w:val="auto"/>
          <w:sz w:val="27"/>
        </w:rPr>
        <w:t xml:space="preserve"> 51 Cal.4th </w:t>
      </w:r>
      <w:r w:rsidRPr="0052255D" w:rsidR="00DC02F8">
        <w:rPr>
          <w:rFonts w:ascii="Century Schoolbook" w:hAnsi="Century Schoolbook"/>
          <w:color w:val="auto"/>
          <w:sz w:val="27"/>
        </w:rPr>
        <w:t>620</w:t>
      </w:r>
      <w:r w:rsidRPr="0052255D">
        <w:rPr>
          <w:rFonts w:ascii="Century Schoolbook" w:hAnsi="Century Schoolbook"/>
          <w:color w:val="auto"/>
          <w:sz w:val="27"/>
        </w:rPr>
        <w:t>, 64</w:t>
      </w:r>
      <w:r w:rsidRPr="0052255D" w:rsidR="00B0354D">
        <w:rPr>
          <w:rFonts w:ascii="Century Schoolbook" w:hAnsi="Century Schoolbook"/>
          <w:color w:val="auto"/>
          <w:sz w:val="27"/>
        </w:rPr>
        <w:t>9</w:t>
      </w:r>
      <w:r w:rsidRPr="0052255D" w:rsidR="00FE5A74">
        <w:rPr>
          <w:rFonts w:ascii="Century Schoolbook" w:hAnsi="Century Schoolbook"/>
          <w:color w:val="auto"/>
          <w:sz w:val="27"/>
        </w:rPr>
        <w:t xml:space="preserve">; </w:t>
      </w:r>
      <w:r w:rsidRPr="0052255D" w:rsidR="00FE5A74">
        <w:rPr>
          <w:rFonts w:ascii="Century Schoolbook" w:hAnsi="Century Schoolbook"/>
          <w:i/>
          <w:iCs/>
          <w:color w:val="auto"/>
          <w:sz w:val="27"/>
        </w:rPr>
        <w:t>People v. Raley</w:t>
      </w:r>
      <w:r w:rsidRPr="0052255D" w:rsidR="00FE5A74">
        <w:rPr>
          <w:rFonts w:ascii="Century Schoolbook" w:hAnsi="Century Schoolbook"/>
          <w:color w:val="auto"/>
          <w:sz w:val="27"/>
        </w:rPr>
        <w:t xml:space="preserve"> (1992) 2 Cal.4th 870, 909</w:t>
      </w:r>
      <w:r w:rsidRPr="0052255D">
        <w:rPr>
          <w:rFonts w:ascii="Century Schoolbook" w:hAnsi="Century Schoolbook"/>
          <w:color w:val="auto"/>
          <w:sz w:val="27"/>
        </w:rPr>
        <w:t xml:space="preserve">.)  </w:t>
      </w:r>
    </w:p>
    <w:p w:rsidR="00716209" w:rsidRPr="0052255D" w:rsidP="00851754">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color w:val="auto"/>
          <w:sz w:val="27"/>
        </w:rPr>
        <w:t xml:space="preserve">In </w:t>
      </w:r>
      <w:r w:rsidRPr="0052255D">
        <w:rPr>
          <w:rFonts w:ascii="Century Schoolbook" w:hAnsi="Century Schoolbook"/>
          <w:i/>
          <w:iCs/>
          <w:color w:val="auto"/>
          <w:sz w:val="27"/>
        </w:rPr>
        <w:t xml:space="preserve">People v. Bramit </w:t>
      </w:r>
      <w:r w:rsidRPr="0052255D">
        <w:rPr>
          <w:rFonts w:ascii="Century Schoolbook" w:hAnsi="Century Schoolbook"/>
          <w:color w:val="auto"/>
          <w:sz w:val="27"/>
        </w:rPr>
        <w:t>(2009) 46 Cal.4th 1221,</w:t>
      </w:r>
      <w:r w:rsidRPr="0052255D" w:rsidR="002C13C7">
        <w:rPr>
          <w:rFonts w:ascii="Century Schoolbook" w:hAnsi="Century Schoolbook"/>
          <w:color w:val="auto"/>
          <w:sz w:val="27"/>
        </w:rPr>
        <w:t xml:space="preserve"> 1239</w:t>
      </w:r>
      <w:r w:rsidRPr="0052255D" w:rsidR="00DC216D">
        <w:rPr>
          <w:rFonts w:ascii="Century Schoolbook" w:hAnsi="Century Schoolbook"/>
          <w:color w:val="auto"/>
          <w:sz w:val="27"/>
        </w:rPr>
        <w:t xml:space="preserve"> (</w:t>
      </w:r>
      <w:r w:rsidRPr="0052255D" w:rsidR="00DC216D">
        <w:rPr>
          <w:rFonts w:ascii="Century Schoolbook" w:hAnsi="Century Schoolbook"/>
          <w:i/>
          <w:iCs/>
          <w:color w:val="auto"/>
          <w:sz w:val="27"/>
        </w:rPr>
        <w:t>Bramit</w:t>
      </w:r>
      <w:r w:rsidRPr="0052255D" w:rsidR="00DC216D">
        <w:rPr>
          <w:rFonts w:ascii="Century Schoolbook" w:hAnsi="Century Schoolbook"/>
          <w:color w:val="auto"/>
          <w:sz w:val="27"/>
        </w:rPr>
        <w:t>)</w:t>
      </w:r>
      <w:r w:rsidRPr="0052255D" w:rsidR="002C13C7">
        <w:rPr>
          <w:rFonts w:ascii="Century Schoolbook" w:hAnsi="Century Schoolbook"/>
          <w:color w:val="auto"/>
          <w:sz w:val="27"/>
        </w:rPr>
        <w:t>,</w:t>
      </w:r>
      <w:r w:rsidRPr="0052255D">
        <w:rPr>
          <w:rFonts w:ascii="Century Schoolbook" w:hAnsi="Century Schoolbook"/>
          <w:color w:val="auto"/>
          <w:sz w:val="27"/>
        </w:rPr>
        <w:t xml:space="preserve"> </w:t>
      </w:r>
      <w:r w:rsidRPr="0052255D">
        <w:rPr>
          <w:rFonts w:ascii="Century Schoolbook" w:hAnsi="Century Schoolbook"/>
          <w:sz w:val="27"/>
        </w:rPr>
        <w:t xml:space="preserve">we </w:t>
      </w:r>
      <w:r w:rsidRPr="0052255D" w:rsidR="00EB49ED">
        <w:rPr>
          <w:rFonts w:ascii="Century Schoolbook" w:hAnsi="Century Schoolbook"/>
          <w:sz w:val="27"/>
        </w:rPr>
        <w:t xml:space="preserve">examined and </w:t>
      </w:r>
      <w:r w:rsidRPr="0052255D">
        <w:rPr>
          <w:rFonts w:ascii="Century Schoolbook" w:hAnsi="Century Schoolbook"/>
          <w:sz w:val="27"/>
        </w:rPr>
        <w:t>rejected the defendant’s claim</w:t>
      </w:r>
      <w:r w:rsidRPr="0052255D" w:rsidR="00930F11">
        <w:rPr>
          <w:rFonts w:ascii="Century Schoolbook" w:hAnsi="Century Schoolbook"/>
          <w:sz w:val="27"/>
        </w:rPr>
        <w:t xml:space="preserve"> that</w:t>
      </w:r>
      <w:r w:rsidRPr="0052255D" w:rsidR="00E56D2F">
        <w:rPr>
          <w:rFonts w:ascii="Century Schoolbook" w:hAnsi="Century Schoolbook"/>
          <w:sz w:val="27"/>
        </w:rPr>
        <w:t xml:space="preserve">, </w:t>
      </w:r>
      <w:r w:rsidRPr="0052255D" w:rsidR="00EB49ED">
        <w:rPr>
          <w:rFonts w:ascii="Century Schoolbook" w:hAnsi="Century Schoolbook"/>
          <w:sz w:val="27"/>
        </w:rPr>
        <w:t>in light of</w:t>
      </w:r>
      <w:r w:rsidRPr="0052255D" w:rsidR="00E56D2F">
        <w:rPr>
          <w:rFonts w:ascii="Century Schoolbook" w:hAnsi="Century Schoolbook"/>
          <w:sz w:val="27"/>
        </w:rPr>
        <w:t xml:space="preserve"> </w:t>
      </w:r>
      <w:r w:rsidRPr="0052255D" w:rsidR="0060415D">
        <w:rPr>
          <w:rFonts w:ascii="Century Schoolbook" w:hAnsi="Century Schoolbook"/>
          <w:sz w:val="27"/>
        </w:rPr>
        <w:t xml:space="preserve">the </w:t>
      </w:r>
      <w:r w:rsidRPr="0052255D" w:rsidR="00C27150">
        <w:rPr>
          <w:rFonts w:ascii="Century Schoolbook" w:hAnsi="Century Schoolbook"/>
          <w:sz w:val="27"/>
        </w:rPr>
        <w:t>United States Supreme Court’s</w:t>
      </w:r>
      <w:r w:rsidRPr="0052255D" w:rsidR="0060415D">
        <w:rPr>
          <w:rFonts w:ascii="Century Schoolbook" w:hAnsi="Century Schoolbook"/>
          <w:sz w:val="27"/>
        </w:rPr>
        <w:t xml:space="preserve"> decision in </w:t>
      </w:r>
      <w:r w:rsidRPr="0052255D" w:rsidR="00E56D2F">
        <w:rPr>
          <w:rFonts w:ascii="Century Schoolbook" w:hAnsi="Century Schoolbook"/>
          <w:i/>
          <w:iCs/>
          <w:sz w:val="27"/>
        </w:rPr>
        <w:t>Roper</w:t>
      </w:r>
      <w:r w:rsidRPr="0052255D" w:rsidR="0060415D">
        <w:rPr>
          <w:rFonts w:ascii="Century Schoolbook" w:hAnsi="Century Schoolbook"/>
          <w:i/>
          <w:iCs/>
          <w:sz w:val="27"/>
        </w:rPr>
        <w:t xml:space="preserve"> v. Simmons</w:t>
      </w:r>
      <w:r w:rsidRPr="0052255D" w:rsidR="0060415D">
        <w:rPr>
          <w:rFonts w:ascii="Century Schoolbook" w:hAnsi="Century Schoolbook"/>
          <w:sz w:val="27"/>
        </w:rPr>
        <w:t xml:space="preserve"> (2005) 543 U.S. 551</w:t>
      </w:r>
      <w:r w:rsidRPr="0052255D" w:rsidR="00E56D2F">
        <w:rPr>
          <w:rFonts w:ascii="Century Schoolbook" w:hAnsi="Century Schoolbook"/>
          <w:sz w:val="27"/>
        </w:rPr>
        <w:t xml:space="preserve">, </w:t>
      </w:r>
      <w:r w:rsidRPr="0052255D" w:rsidR="005A46BF">
        <w:rPr>
          <w:rFonts w:ascii="Century Schoolbook" w:hAnsi="Century Schoolbook"/>
          <w:sz w:val="27"/>
        </w:rPr>
        <w:t xml:space="preserve">the admission of juvenile criminal activity </w:t>
      </w:r>
      <w:r w:rsidRPr="0052255D" w:rsidR="002C13C7">
        <w:rPr>
          <w:rFonts w:ascii="Century Schoolbook" w:hAnsi="Century Schoolbook"/>
          <w:sz w:val="27"/>
        </w:rPr>
        <w:t>violates the Eighth and Fourteenth Amendments.</w:t>
      </w:r>
      <w:r w:rsidRPr="0052255D" w:rsidR="00D21E88">
        <w:rPr>
          <w:rFonts w:ascii="Century Schoolbook" w:hAnsi="Century Schoolbook"/>
          <w:sz w:val="27"/>
        </w:rPr>
        <w:t xml:space="preserve">  We </w:t>
      </w:r>
      <w:r w:rsidRPr="0052255D" w:rsidR="000079F6">
        <w:rPr>
          <w:rFonts w:ascii="Century Schoolbook" w:hAnsi="Century Schoolbook"/>
          <w:sz w:val="27"/>
        </w:rPr>
        <w:t>conclud</w:t>
      </w:r>
      <w:r w:rsidRPr="0052255D" w:rsidR="006D0CBC">
        <w:rPr>
          <w:rFonts w:ascii="Century Schoolbook" w:hAnsi="Century Schoolbook"/>
          <w:sz w:val="27"/>
        </w:rPr>
        <w:t>ed</w:t>
      </w:r>
      <w:r w:rsidRPr="0052255D" w:rsidR="009B7430">
        <w:rPr>
          <w:rFonts w:ascii="Century Schoolbook" w:hAnsi="Century Schoolbook"/>
          <w:sz w:val="27"/>
        </w:rPr>
        <w:t xml:space="preserve"> the defendant’s </w:t>
      </w:r>
      <w:r w:rsidRPr="0052255D" w:rsidR="00D21E88">
        <w:rPr>
          <w:rFonts w:ascii="Century Schoolbook" w:hAnsi="Century Schoolbook"/>
          <w:sz w:val="27"/>
        </w:rPr>
        <w:t xml:space="preserve">reliance on </w:t>
      </w:r>
      <w:r w:rsidRPr="0052255D" w:rsidR="00D21E88">
        <w:rPr>
          <w:rFonts w:ascii="Century Schoolbook" w:hAnsi="Century Schoolbook"/>
          <w:i/>
          <w:iCs/>
          <w:sz w:val="27"/>
        </w:rPr>
        <w:t xml:space="preserve">Roper </w:t>
      </w:r>
      <w:r w:rsidRPr="0052255D" w:rsidR="009B7430">
        <w:rPr>
          <w:rFonts w:ascii="Century Schoolbook" w:hAnsi="Century Schoolbook"/>
          <w:sz w:val="27"/>
        </w:rPr>
        <w:t>was “</w:t>
      </w:r>
      <w:r w:rsidRPr="0052255D" w:rsidR="00D21E88">
        <w:rPr>
          <w:rFonts w:ascii="Century Schoolbook" w:hAnsi="Century Schoolbook"/>
          <w:sz w:val="27"/>
        </w:rPr>
        <w:t>badly misplaced</w:t>
      </w:r>
      <w:r w:rsidRPr="0052255D" w:rsidR="009B7430">
        <w:rPr>
          <w:rFonts w:ascii="Century Schoolbook" w:hAnsi="Century Schoolbook"/>
          <w:sz w:val="27"/>
        </w:rPr>
        <w:t>,” explaining that</w:t>
      </w:r>
      <w:r w:rsidRPr="0052255D" w:rsidR="006D0CBC">
        <w:rPr>
          <w:rFonts w:ascii="Century Schoolbook" w:hAnsi="Century Schoolbook"/>
          <w:sz w:val="27"/>
        </w:rPr>
        <w:t xml:space="preserve"> </w:t>
      </w:r>
      <w:r w:rsidRPr="0052255D" w:rsidR="00927F97">
        <w:rPr>
          <w:rFonts w:ascii="Century Schoolbook" w:hAnsi="Century Schoolbook"/>
          <w:i/>
          <w:iCs/>
          <w:sz w:val="27"/>
        </w:rPr>
        <w:t>Roper</w:t>
      </w:r>
      <w:r w:rsidRPr="0052255D" w:rsidR="00927F97">
        <w:rPr>
          <w:rFonts w:ascii="Century Schoolbook" w:hAnsi="Century Schoolbook"/>
          <w:sz w:val="27"/>
        </w:rPr>
        <w:t xml:space="preserve"> “</w:t>
      </w:r>
      <w:r w:rsidRPr="0052255D" w:rsidR="00D21E88">
        <w:rPr>
          <w:rFonts w:ascii="Century Schoolbook" w:hAnsi="Century Schoolbook"/>
          <w:sz w:val="27"/>
        </w:rPr>
        <w:t xml:space="preserve">holds that the execution of individuals who were under 18 years of age at the time of their capital crimes is prohibited by the Eighth and Fourteenth Amendments.  It says nothing about the propriety of permitting a capital jury, trying an adult, to consider evidence of violent offenses committed when the defendant was a juvenile.  An Eighth Amendment analysis hinges upon whether there is a national consensus in this country against a particular punishment.  [Citations.]  Defendant’s challenge here is to the admissibility of evidence, not the imposition of punishment.”  </w:t>
      </w:r>
      <w:r w:rsidRPr="0052255D" w:rsidR="00D21E88">
        <w:rPr>
          <w:rFonts w:ascii="Century Schoolbook" w:hAnsi="Century Schoolbook"/>
          <w:color w:val="auto"/>
          <w:sz w:val="27"/>
        </w:rPr>
        <w:t>(</w:t>
      </w:r>
      <w:r w:rsidRPr="0052255D" w:rsidR="003F1D3C">
        <w:rPr>
          <w:rFonts w:ascii="Century Schoolbook" w:hAnsi="Century Schoolbook"/>
          <w:i/>
          <w:iCs/>
          <w:color w:val="auto"/>
          <w:sz w:val="27"/>
        </w:rPr>
        <w:t>Bramit</w:t>
      </w:r>
      <w:r w:rsidRPr="0052255D" w:rsidR="003F1D3C">
        <w:rPr>
          <w:rFonts w:ascii="Century Schoolbook" w:hAnsi="Century Schoolbook"/>
          <w:color w:val="auto"/>
          <w:sz w:val="27"/>
        </w:rPr>
        <w:t>, at p.</w:t>
      </w:r>
      <w:r w:rsidR="00851754">
        <w:rPr>
          <w:rFonts w:ascii="Century Schoolbook" w:hAnsi="Century Schoolbook"/>
          <w:color w:val="auto"/>
          <w:sz w:val="27"/>
        </w:rPr>
        <w:t> </w:t>
      </w:r>
      <w:r w:rsidRPr="0052255D" w:rsidR="003F1D3C">
        <w:rPr>
          <w:rFonts w:ascii="Century Schoolbook" w:hAnsi="Century Schoolbook"/>
          <w:color w:val="auto"/>
          <w:sz w:val="27"/>
        </w:rPr>
        <w:t>1239</w:t>
      </w:r>
      <w:r w:rsidRPr="0052255D" w:rsidR="00BA1756">
        <w:rPr>
          <w:rFonts w:ascii="Century Schoolbook" w:hAnsi="Century Schoolbook"/>
          <w:color w:val="auto"/>
          <w:sz w:val="27"/>
        </w:rPr>
        <w:t xml:space="preserve">; see also </w:t>
      </w:r>
      <w:r w:rsidRPr="0052255D" w:rsidR="00BA1756">
        <w:rPr>
          <w:rFonts w:ascii="Century Schoolbook" w:hAnsi="Century Schoolbook"/>
          <w:i/>
          <w:iCs/>
          <w:color w:val="auto"/>
          <w:sz w:val="27"/>
        </w:rPr>
        <w:t>Taylor</w:t>
      </w:r>
      <w:r w:rsidR="00EB5A3B">
        <w:rPr>
          <w:rFonts w:ascii="Century Schoolbook" w:hAnsi="Century Schoolbook"/>
          <w:color w:val="auto"/>
          <w:sz w:val="27"/>
        </w:rPr>
        <w:t xml:space="preserve">, </w:t>
      </w:r>
      <w:r w:rsidR="00EB5A3B">
        <w:rPr>
          <w:rFonts w:ascii="Century Schoolbook" w:hAnsi="Century Schoolbook"/>
          <w:i/>
          <w:iCs/>
          <w:color w:val="auto"/>
          <w:sz w:val="27"/>
        </w:rPr>
        <w:t>supra</w:t>
      </w:r>
      <w:r w:rsidR="00EB5A3B">
        <w:rPr>
          <w:rFonts w:ascii="Century Schoolbook" w:hAnsi="Century Schoolbook"/>
          <w:color w:val="auto"/>
          <w:sz w:val="27"/>
        </w:rPr>
        <w:t>,</w:t>
      </w:r>
      <w:r w:rsidRPr="0052255D" w:rsidR="00BA1756">
        <w:rPr>
          <w:rFonts w:ascii="Century Schoolbook" w:hAnsi="Century Schoolbook"/>
          <w:color w:val="auto"/>
          <w:sz w:val="27"/>
        </w:rPr>
        <w:t xml:space="preserve"> 48 Cal.4th </w:t>
      </w:r>
      <w:r w:rsidR="00EB5A3B">
        <w:rPr>
          <w:rFonts w:ascii="Century Schoolbook" w:hAnsi="Century Schoolbook"/>
          <w:color w:val="auto"/>
          <w:sz w:val="27"/>
        </w:rPr>
        <w:t>at pp.</w:t>
      </w:r>
      <w:r w:rsidR="00851754">
        <w:rPr>
          <w:rFonts w:ascii="Century Schoolbook" w:hAnsi="Century Schoolbook"/>
          <w:color w:val="auto"/>
          <w:sz w:val="27"/>
        </w:rPr>
        <w:t> </w:t>
      </w:r>
      <w:r w:rsidRPr="0052255D" w:rsidR="00BA1756">
        <w:rPr>
          <w:rFonts w:ascii="Century Schoolbook" w:hAnsi="Century Schoolbook"/>
          <w:color w:val="auto"/>
          <w:sz w:val="27"/>
        </w:rPr>
        <w:t>653</w:t>
      </w:r>
      <w:r w:rsidRPr="0052255D" w:rsidR="00346B19">
        <w:rPr>
          <w:rFonts w:ascii="Century Schoolbook" w:hAnsi="Century Schoolbook"/>
          <w:color w:val="auto"/>
          <w:sz w:val="27"/>
        </w:rPr>
        <w:t>–654 [same]</w:t>
      </w:r>
      <w:r w:rsidRPr="0052255D" w:rsidR="00BA1756">
        <w:rPr>
          <w:rFonts w:ascii="Century Schoolbook" w:hAnsi="Century Schoolbook"/>
          <w:color w:val="auto"/>
          <w:sz w:val="27"/>
        </w:rPr>
        <w:t>.</w:t>
      </w:r>
      <w:r w:rsidRPr="0052255D" w:rsidR="00D21E88">
        <w:rPr>
          <w:rFonts w:ascii="Century Schoolbook" w:hAnsi="Century Schoolbook"/>
          <w:color w:val="auto"/>
          <w:sz w:val="27"/>
        </w:rPr>
        <w:t>)</w:t>
      </w:r>
    </w:p>
    <w:p w:rsidR="000B6247" w:rsidRPr="0052255D" w:rsidP="00851754">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color w:val="auto"/>
          <w:sz w:val="27"/>
        </w:rPr>
        <w:t xml:space="preserve">We have </w:t>
      </w:r>
      <w:r w:rsidRPr="0052255D" w:rsidR="000B36C9">
        <w:rPr>
          <w:rFonts w:ascii="Century Schoolbook" w:hAnsi="Century Schoolbook"/>
          <w:color w:val="auto"/>
          <w:sz w:val="27"/>
        </w:rPr>
        <w:t xml:space="preserve">further </w:t>
      </w:r>
      <w:r w:rsidRPr="0052255D" w:rsidR="00B610ED">
        <w:rPr>
          <w:rFonts w:ascii="Century Schoolbook" w:hAnsi="Century Schoolbook"/>
          <w:color w:val="auto"/>
          <w:sz w:val="27"/>
        </w:rPr>
        <w:t>held</w:t>
      </w:r>
      <w:r w:rsidRPr="0052255D" w:rsidR="00D93390">
        <w:rPr>
          <w:rFonts w:ascii="Century Schoolbook" w:hAnsi="Century Schoolbook"/>
          <w:color w:val="auto"/>
          <w:sz w:val="27"/>
        </w:rPr>
        <w:t xml:space="preserve"> that </w:t>
      </w:r>
      <w:r w:rsidRPr="0052255D">
        <w:rPr>
          <w:rFonts w:ascii="Century Schoolbook" w:hAnsi="Century Schoolbook"/>
          <w:color w:val="auto"/>
          <w:sz w:val="27"/>
        </w:rPr>
        <w:t>t</w:t>
      </w:r>
      <w:r w:rsidRPr="0052255D" w:rsidR="00B610ED">
        <w:rPr>
          <w:rFonts w:ascii="Century Schoolbook" w:hAnsi="Century Schoolbook"/>
          <w:color w:val="auto"/>
          <w:sz w:val="27"/>
        </w:rPr>
        <w:t>hree</w:t>
      </w:r>
      <w:r w:rsidRPr="0052255D">
        <w:rPr>
          <w:rFonts w:ascii="Century Schoolbook" w:hAnsi="Century Schoolbook"/>
          <w:color w:val="auto"/>
          <w:sz w:val="27"/>
        </w:rPr>
        <w:t xml:space="preserve"> additional high court decisions</w:t>
      </w:r>
      <w:r w:rsidR="0052569A">
        <w:rPr>
          <w:rFonts w:ascii="Century Schoolbook" w:hAnsi="Century Schoolbook"/>
          <w:color w:val="auto"/>
          <w:sz w:val="27"/>
        </w:rPr>
        <w:t> </w:t>
      </w:r>
      <w:r w:rsidRPr="0052255D">
        <w:rPr>
          <w:rFonts w:ascii="Century Schoolbook" w:hAnsi="Century Schoolbook"/>
          <w:color w:val="auto"/>
          <w:sz w:val="27"/>
        </w:rPr>
        <w:t xml:space="preserve">— </w:t>
      </w:r>
      <w:r w:rsidRPr="0052255D" w:rsidR="00B610ED">
        <w:rPr>
          <w:rFonts w:ascii="Century Schoolbook" w:hAnsi="Century Schoolbook"/>
          <w:i/>
          <w:iCs/>
          <w:color w:val="auto"/>
          <w:sz w:val="27"/>
        </w:rPr>
        <w:t xml:space="preserve">Hall v. Florida </w:t>
      </w:r>
      <w:r w:rsidRPr="0052255D" w:rsidR="005D64F0">
        <w:rPr>
          <w:rFonts w:ascii="Century Schoolbook" w:hAnsi="Century Schoolbook"/>
          <w:color w:val="auto"/>
          <w:sz w:val="27"/>
        </w:rPr>
        <w:t xml:space="preserve">(2014) </w:t>
      </w:r>
      <w:r w:rsidRPr="0052255D" w:rsidR="00802C54">
        <w:rPr>
          <w:rFonts w:ascii="Century Schoolbook" w:hAnsi="Century Schoolbook"/>
          <w:color w:val="auto"/>
          <w:sz w:val="27"/>
        </w:rPr>
        <w:t xml:space="preserve">572 U.S. 701, </w:t>
      </w:r>
      <w:r w:rsidRPr="0052255D">
        <w:rPr>
          <w:rFonts w:ascii="Century Schoolbook" w:hAnsi="Century Schoolbook"/>
          <w:i/>
          <w:iCs/>
          <w:color w:val="auto"/>
          <w:sz w:val="27"/>
        </w:rPr>
        <w:t>Miller v. Alabama</w:t>
      </w:r>
      <w:r w:rsidRPr="0052255D">
        <w:rPr>
          <w:rFonts w:ascii="Century Schoolbook" w:hAnsi="Century Schoolbook"/>
          <w:color w:val="auto"/>
          <w:sz w:val="27"/>
        </w:rPr>
        <w:t xml:space="preserve"> (2012) 567 U.S. 460</w:t>
      </w:r>
      <w:r w:rsidRPr="0052255D" w:rsidR="00B610ED">
        <w:rPr>
          <w:rFonts w:ascii="Century Schoolbook" w:hAnsi="Century Schoolbook"/>
          <w:color w:val="auto"/>
          <w:sz w:val="27"/>
        </w:rPr>
        <w:t>,</w:t>
      </w:r>
      <w:r w:rsidRPr="0052255D">
        <w:rPr>
          <w:rFonts w:ascii="Century Schoolbook" w:hAnsi="Century Schoolbook"/>
          <w:color w:val="auto"/>
          <w:sz w:val="27"/>
        </w:rPr>
        <w:t xml:space="preserve"> and </w:t>
      </w:r>
      <w:r w:rsidRPr="0052255D">
        <w:rPr>
          <w:rFonts w:ascii="Century Schoolbook" w:hAnsi="Century Schoolbook"/>
          <w:i/>
          <w:iCs/>
          <w:color w:val="auto"/>
          <w:sz w:val="27"/>
        </w:rPr>
        <w:t>Graham v. Florida</w:t>
      </w:r>
      <w:r w:rsidRPr="0052255D">
        <w:rPr>
          <w:rFonts w:ascii="Century Schoolbook" w:hAnsi="Century Schoolbook"/>
          <w:color w:val="auto"/>
          <w:sz w:val="27"/>
        </w:rPr>
        <w:t xml:space="preserve"> (2010) 560 U.S. 48</w:t>
      </w:r>
      <w:r w:rsidR="0052569A">
        <w:rPr>
          <w:rFonts w:ascii="Century Schoolbook" w:hAnsi="Century Schoolbook"/>
          <w:color w:val="auto"/>
          <w:sz w:val="27"/>
        </w:rPr>
        <w:t> </w:t>
      </w:r>
      <w:r w:rsidRPr="0052255D">
        <w:rPr>
          <w:rFonts w:ascii="Century Schoolbook" w:hAnsi="Century Schoolbook"/>
          <w:color w:val="auto"/>
          <w:sz w:val="27"/>
        </w:rPr>
        <w:t xml:space="preserve">— </w:t>
      </w:r>
      <w:r w:rsidRPr="0052255D" w:rsidR="00B610ED">
        <w:rPr>
          <w:rFonts w:ascii="Century Schoolbook" w:hAnsi="Century Schoolbook"/>
          <w:color w:val="auto"/>
          <w:sz w:val="27"/>
        </w:rPr>
        <w:t>d</w:t>
      </w:r>
      <w:r w:rsidRPr="0052255D" w:rsidR="004C5D91">
        <w:rPr>
          <w:rFonts w:ascii="Century Schoolbook" w:hAnsi="Century Schoolbook"/>
          <w:color w:val="auto"/>
          <w:sz w:val="27"/>
        </w:rPr>
        <w:t>o</w:t>
      </w:r>
      <w:r w:rsidRPr="0052255D" w:rsidR="00B610ED">
        <w:rPr>
          <w:rFonts w:ascii="Century Schoolbook" w:hAnsi="Century Schoolbook"/>
          <w:color w:val="auto"/>
          <w:sz w:val="27"/>
        </w:rPr>
        <w:t xml:space="preserve"> not alter our conclusion that evidence of juvenile misconduct may be considered on the question of what punishment a defendant may receive for crimes committed as an adult.</w:t>
      </w:r>
      <w:r w:rsidRPr="0052255D" w:rsidR="00802C54">
        <w:rPr>
          <w:rFonts w:ascii="Century Schoolbook" w:hAnsi="Century Schoolbook"/>
          <w:color w:val="auto"/>
          <w:sz w:val="27"/>
        </w:rPr>
        <w:t xml:space="preserve">  </w:t>
      </w:r>
      <w:r w:rsidRPr="0052255D" w:rsidR="00495E9B">
        <w:rPr>
          <w:rFonts w:ascii="Century Schoolbook" w:hAnsi="Century Schoolbook"/>
          <w:color w:val="auto"/>
          <w:sz w:val="27"/>
        </w:rPr>
        <w:t>(</w:t>
      </w:r>
      <w:r w:rsidRPr="0052255D" w:rsidR="00AF573F">
        <w:rPr>
          <w:rFonts w:ascii="Century Schoolbook" w:hAnsi="Century Schoolbook"/>
          <w:i/>
          <w:iCs/>
          <w:color w:val="auto"/>
          <w:sz w:val="27"/>
        </w:rPr>
        <w:t>Rivera</w:t>
      </w:r>
      <w:r w:rsidR="00EB5A3B">
        <w:rPr>
          <w:rFonts w:ascii="Century Schoolbook" w:hAnsi="Century Schoolbook"/>
          <w:color w:val="auto"/>
          <w:sz w:val="27"/>
        </w:rPr>
        <w:t xml:space="preserve">, </w:t>
      </w:r>
      <w:r w:rsidR="00EB5A3B">
        <w:rPr>
          <w:rFonts w:ascii="Century Schoolbook" w:hAnsi="Century Schoolbook"/>
          <w:i/>
          <w:iCs/>
          <w:color w:val="auto"/>
          <w:sz w:val="27"/>
        </w:rPr>
        <w:t>supra</w:t>
      </w:r>
      <w:r w:rsidR="00EB5A3B">
        <w:rPr>
          <w:rFonts w:ascii="Century Schoolbook" w:hAnsi="Century Schoolbook"/>
          <w:color w:val="auto"/>
          <w:sz w:val="27"/>
        </w:rPr>
        <w:t>,</w:t>
      </w:r>
      <w:r w:rsidRPr="0052255D" w:rsidR="00AF573F">
        <w:rPr>
          <w:rFonts w:ascii="Century Schoolbook" w:hAnsi="Century Schoolbook"/>
          <w:i/>
          <w:iCs/>
          <w:color w:val="auto"/>
          <w:sz w:val="27"/>
        </w:rPr>
        <w:t xml:space="preserve"> </w:t>
      </w:r>
      <w:r w:rsidRPr="0052255D" w:rsidR="00AF573F">
        <w:rPr>
          <w:rFonts w:ascii="Century Schoolbook" w:hAnsi="Century Schoolbook"/>
          <w:color w:val="auto"/>
          <w:sz w:val="27"/>
        </w:rPr>
        <w:t xml:space="preserve">7 Cal.5th </w:t>
      </w:r>
      <w:r w:rsidR="00EB5A3B">
        <w:rPr>
          <w:rFonts w:ascii="Century Schoolbook" w:hAnsi="Century Schoolbook"/>
          <w:color w:val="auto"/>
          <w:sz w:val="27"/>
        </w:rPr>
        <w:t>at pp.</w:t>
      </w:r>
      <w:r w:rsidRPr="0052255D" w:rsidR="00AF573F">
        <w:rPr>
          <w:rFonts w:ascii="Century Schoolbook" w:hAnsi="Century Schoolbook"/>
          <w:color w:val="auto"/>
          <w:sz w:val="27"/>
        </w:rPr>
        <w:t xml:space="preserve"> 34</w:t>
      </w:r>
      <w:r w:rsidRPr="0052255D" w:rsidR="00E230A6">
        <w:rPr>
          <w:rFonts w:ascii="Century Schoolbook" w:hAnsi="Century Schoolbook"/>
          <w:color w:val="auto"/>
          <w:sz w:val="27"/>
        </w:rPr>
        <w:t>2–343</w:t>
      </w:r>
      <w:r w:rsidRPr="0052255D" w:rsidR="00AF573F">
        <w:rPr>
          <w:rFonts w:ascii="Century Schoolbook" w:hAnsi="Century Schoolbook"/>
          <w:color w:val="auto"/>
          <w:sz w:val="27"/>
        </w:rPr>
        <w:t xml:space="preserve">; </w:t>
      </w:r>
      <w:r w:rsidRPr="0052255D" w:rsidR="00495E9B">
        <w:rPr>
          <w:rFonts w:ascii="Century Schoolbook" w:hAnsi="Century Schoolbook"/>
          <w:i/>
          <w:iCs/>
          <w:color w:val="auto"/>
          <w:sz w:val="27"/>
        </w:rPr>
        <w:t>People v. Rices</w:t>
      </w:r>
      <w:r w:rsidRPr="0052255D" w:rsidR="00495E9B">
        <w:rPr>
          <w:rFonts w:ascii="Century Schoolbook" w:hAnsi="Century Schoolbook"/>
          <w:color w:val="auto"/>
          <w:sz w:val="27"/>
        </w:rPr>
        <w:t xml:space="preserve"> (2017) 4 Cal.5th 49, 87.)  </w:t>
      </w:r>
      <w:r w:rsidRPr="0052255D" w:rsidR="002B6F82">
        <w:rPr>
          <w:rFonts w:ascii="Century Schoolbook" w:hAnsi="Century Schoolbook"/>
          <w:color w:val="auto"/>
          <w:sz w:val="27"/>
        </w:rPr>
        <w:t xml:space="preserve">In </w:t>
      </w:r>
      <w:r w:rsidRPr="0052255D" w:rsidR="0084195F">
        <w:rPr>
          <w:rFonts w:ascii="Century Schoolbook" w:hAnsi="Century Schoolbook"/>
          <w:i/>
          <w:iCs/>
          <w:color w:val="auto"/>
          <w:sz w:val="27"/>
        </w:rPr>
        <w:t>Rices</w:t>
      </w:r>
      <w:r w:rsidRPr="0052255D" w:rsidR="002B6F82">
        <w:rPr>
          <w:rFonts w:ascii="Century Schoolbook" w:hAnsi="Century Schoolbook"/>
          <w:color w:val="auto"/>
          <w:sz w:val="27"/>
        </w:rPr>
        <w:t xml:space="preserve">, we </w:t>
      </w:r>
      <w:r w:rsidRPr="0052255D" w:rsidR="00793FC5">
        <w:rPr>
          <w:rFonts w:ascii="Century Schoolbook" w:hAnsi="Century Schoolbook"/>
          <w:color w:val="auto"/>
          <w:sz w:val="27"/>
        </w:rPr>
        <w:t xml:space="preserve">observed that </w:t>
      </w:r>
      <w:r w:rsidRPr="0052255D" w:rsidR="001160DC">
        <w:rPr>
          <w:rFonts w:ascii="Century Schoolbook" w:hAnsi="Century Schoolbook"/>
          <w:color w:val="auto"/>
          <w:sz w:val="27"/>
        </w:rPr>
        <w:t>“[</w:t>
      </w:r>
      <w:r w:rsidRPr="0052255D" w:rsidR="00793FC5">
        <w:rPr>
          <w:rFonts w:ascii="Century Schoolbook" w:hAnsi="Century Schoolbook"/>
          <w:color w:val="auto"/>
          <w:sz w:val="27"/>
        </w:rPr>
        <w:t>t</w:t>
      </w:r>
      <w:r w:rsidRPr="0052255D" w:rsidR="001160DC">
        <w:rPr>
          <w:rFonts w:ascii="Century Schoolbook" w:hAnsi="Century Schoolbook"/>
          <w:color w:val="auto"/>
          <w:sz w:val="27"/>
        </w:rPr>
        <w:t>]</w:t>
      </w:r>
      <w:r w:rsidRPr="0052255D" w:rsidR="00793FC5">
        <w:rPr>
          <w:rFonts w:ascii="Century Schoolbook" w:hAnsi="Century Schoolbook"/>
          <w:color w:val="auto"/>
          <w:sz w:val="27"/>
        </w:rPr>
        <w:t xml:space="preserve">he </w:t>
      </w:r>
      <w:r w:rsidRPr="0052255D" w:rsidR="001160DC">
        <w:rPr>
          <w:rFonts w:ascii="Century Schoolbook" w:hAnsi="Century Schoolbook"/>
          <w:color w:val="auto"/>
          <w:sz w:val="27"/>
        </w:rPr>
        <w:t>high court has never suggested that evidence of juvenile misconduct may not be admitted in deciding the proper punishment for crimes an adult commits”</w:t>
      </w:r>
      <w:r w:rsidRPr="0052255D" w:rsidR="00F63EDE">
        <w:rPr>
          <w:rFonts w:ascii="Century Schoolbook" w:hAnsi="Century Schoolbook"/>
          <w:color w:val="auto"/>
          <w:sz w:val="27"/>
        </w:rPr>
        <w:t xml:space="preserve"> and, </w:t>
      </w:r>
      <w:r w:rsidRPr="0052255D" w:rsidR="00D2158D">
        <w:rPr>
          <w:rFonts w:ascii="Century Schoolbook" w:hAnsi="Century Schoolbook"/>
          <w:color w:val="auto"/>
          <w:sz w:val="27"/>
        </w:rPr>
        <w:t>furthermore</w:t>
      </w:r>
      <w:r w:rsidRPr="0052255D" w:rsidR="00F63EDE">
        <w:rPr>
          <w:rFonts w:ascii="Century Schoolbook" w:hAnsi="Century Schoolbook"/>
          <w:color w:val="auto"/>
          <w:sz w:val="27"/>
        </w:rPr>
        <w:t>, “[n]o legal principle prohibits admitting evidence of [</w:t>
      </w:r>
      <w:r w:rsidRPr="0052255D" w:rsidR="00AD5D7D">
        <w:rPr>
          <w:rFonts w:ascii="Century Schoolbook" w:hAnsi="Century Schoolbook"/>
          <w:color w:val="auto"/>
          <w:sz w:val="27"/>
        </w:rPr>
        <w:t xml:space="preserve">an adult’s] </w:t>
      </w:r>
      <w:r w:rsidRPr="0052255D" w:rsidR="00F63EDE">
        <w:rPr>
          <w:rFonts w:ascii="Century Schoolbook" w:hAnsi="Century Schoolbook"/>
          <w:color w:val="auto"/>
          <w:sz w:val="27"/>
        </w:rPr>
        <w:t>violent juvenile conduct on the question of what the punishment for those crimes should be.</w:t>
      </w:r>
      <w:r w:rsidRPr="0052255D" w:rsidR="00D2158D">
        <w:rPr>
          <w:rFonts w:ascii="Century Schoolbook" w:hAnsi="Century Schoolbook"/>
          <w:color w:val="auto"/>
          <w:sz w:val="27"/>
        </w:rPr>
        <w:t>”</w:t>
      </w:r>
      <w:r w:rsidRPr="0052255D" w:rsidR="001160DC">
        <w:rPr>
          <w:rFonts w:ascii="Century Schoolbook" w:hAnsi="Century Schoolbook"/>
          <w:color w:val="auto"/>
          <w:sz w:val="27"/>
        </w:rPr>
        <w:t xml:space="preserve">  (</w:t>
      </w:r>
      <w:r w:rsidRPr="0052255D" w:rsidR="0084195F">
        <w:rPr>
          <w:rFonts w:ascii="Century Schoolbook" w:hAnsi="Century Schoolbook"/>
          <w:i/>
          <w:iCs/>
          <w:color w:val="auto"/>
          <w:sz w:val="27"/>
        </w:rPr>
        <w:t>Rices</w:t>
      </w:r>
      <w:r w:rsidRPr="0052255D" w:rsidR="0084195F">
        <w:rPr>
          <w:rFonts w:ascii="Century Schoolbook" w:hAnsi="Century Schoolbook"/>
          <w:color w:val="auto"/>
          <w:sz w:val="27"/>
        </w:rPr>
        <w:t>, at p. 87.)</w:t>
      </w:r>
      <w:r w:rsidRPr="0052255D" w:rsidR="00CB7EAE">
        <w:rPr>
          <w:rFonts w:ascii="Century Schoolbook" w:hAnsi="Century Schoolbook"/>
          <w:color w:val="auto"/>
          <w:sz w:val="27"/>
        </w:rPr>
        <w:t xml:space="preserve">  Consistent with our prior precedent, we conclude the jury’s consideration of defendant’s </w:t>
      </w:r>
      <w:r w:rsidRPr="0052255D" w:rsidR="000108D6">
        <w:rPr>
          <w:rFonts w:ascii="Century Schoolbook" w:hAnsi="Century Schoolbook"/>
          <w:color w:val="auto"/>
          <w:sz w:val="27"/>
        </w:rPr>
        <w:t xml:space="preserve">juvenile criminal activity </w:t>
      </w:r>
      <w:r w:rsidRPr="0052255D" w:rsidR="0008085A">
        <w:rPr>
          <w:rFonts w:ascii="Century Schoolbook" w:hAnsi="Century Schoolbook"/>
          <w:color w:val="auto"/>
          <w:sz w:val="27"/>
        </w:rPr>
        <w:t>as an aggravating factor under section 190.3, factor (b), was permissible.</w:t>
      </w:r>
    </w:p>
    <w:p w:rsidR="009F6523" w:rsidRPr="0052255D" w:rsidP="0052255D">
      <w:pPr>
        <w:pStyle w:val="Heading3"/>
      </w:pPr>
      <w:bookmarkStart w:id="33" w:name="_Toc94515352"/>
      <w:r w:rsidRPr="0052255D">
        <w:t>4</w:t>
      </w:r>
      <w:r w:rsidRPr="0052255D" w:rsidR="0050548A">
        <w:t xml:space="preserve">.  </w:t>
      </w:r>
      <w:r w:rsidRPr="0052255D" w:rsidR="00A11B77">
        <w:t xml:space="preserve">Admission of </w:t>
      </w:r>
      <w:r w:rsidRPr="0052255D">
        <w:t>e</w:t>
      </w:r>
      <w:r w:rsidRPr="0052255D" w:rsidR="00347DBA">
        <w:t xml:space="preserve">vidence </w:t>
      </w:r>
      <w:r w:rsidRPr="0052255D" w:rsidR="00D45B50">
        <w:t xml:space="preserve">of </w:t>
      </w:r>
      <w:r w:rsidRPr="0052255D">
        <w:t>u</w:t>
      </w:r>
      <w:r w:rsidRPr="0052255D" w:rsidR="00D45B50">
        <w:t xml:space="preserve">nadjudicated </w:t>
      </w:r>
      <w:r w:rsidRPr="0052255D">
        <w:t>r</w:t>
      </w:r>
      <w:r w:rsidRPr="0052255D" w:rsidR="00D45B50">
        <w:t>obbery</w:t>
      </w:r>
      <w:r w:rsidRPr="0052255D" w:rsidR="0050548A">
        <w:t xml:space="preserve"> </w:t>
      </w:r>
      <w:bookmarkEnd w:id="33"/>
    </w:p>
    <w:p w:rsidR="00C83421"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 xml:space="preserve">Defendant maintains that the trial court committed </w:t>
      </w:r>
      <w:r w:rsidRPr="0052255D" w:rsidR="005732DF">
        <w:rPr>
          <w:rFonts w:ascii="Century Schoolbook" w:hAnsi="Century Schoolbook"/>
          <w:sz w:val="27"/>
        </w:rPr>
        <w:t>prejudicial</w:t>
      </w:r>
      <w:r w:rsidRPr="0052255D">
        <w:rPr>
          <w:rFonts w:ascii="Century Schoolbook" w:hAnsi="Century Schoolbook"/>
          <w:sz w:val="27"/>
        </w:rPr>
        <w:t xml:space="preserve"> error when it failed to instruct the jury on aiding and abetting liability</w:t>
      </w:r>
      <w:r w:rsidRPr="0052255D" w:rsidR="005732DF">
        <w:rPr>
          <w:rFonts w:ascii="Century Schoolbook" w:hAnsi="Century Schoolbook"/>
          <w:sz w:val="27"/>
        </w:rPr>
        <w:t xml:space="preserve"> </w:t>
      </w:r>
      <w:r w:rsidRPr="0052255D">
        <w:rPr>
          <w:rFonts w:ascii="Century Schoolbook" w:hAnsi="Century Schoolbook"/>
          <w:sz w:val="27"/>
        </w:rPr>
        <w:t xml:space="preserve">after the prosecution presented evidence that defendant robbed Kinsey as an aider and </w:t>
      </w:r>
      <w:r w:rsidRPr="0052255D" w:rsidR="007F7C57">
        <w:rPr>
          <w:rFonts w:ascii="Century Schoolbook" w:hAnsi="Century Schoolbook"/>
          <w:sz w:val="27"/>
        </w:rPr>
        <w:t>abettor</w:t>
      </w:r>
      <w:r w:rsidRPr="0052255D">
        <w:rPr>
          <w:rFonts w:ascii="Century Schoolbook" w:hAnsi="Century Schoolbook"/>
          <w:sz w:val="27"/>
        </w:rPr>
        <w:t xml:space="preserve">.  </w:t>
      </w:r>
      <w:r w:rsidRPr="0052255D" w:rsidR="00213926">
        <w:rPr>
          <w:rFonts w:ascii="Century Schoolbook" w:hAnsi="Century Schoolbook"/>
          <w:sz w:val="27"/>
        </w:rPr>
        <w:t>W</w:t>
      </w:r>
      <w:r w:rsidRPr="0052255D" w:rsidR="00121CBD">
        <w:rPr>
          <w:rFonts w:ascii="Century Schoolbook" w:hAnsi="Century Schoolbook"/>
          <w:sz w:val="27"/>
        </w:rPr>
        <w:t xml:space="preserve">e </w:t>
      </w:r>
      <w:r w:rsidR="000E6D8C">
        <w:rPr>
          <w:rFonts w:ascii="Century Schoolbook" w:hAnsi="Century Schoolbook"/>
          <w:sz w:val="27"/>
        </w:rPr>
        <w:t>conclude that any error was harmless</w:t>
      </w:r>
      <w:r w:rsidRPr="0052255D" w:rsidR="00121CBD">
        <w:rPr>
          <w:rFonts w:ascii="Century Schoolbook" w:hAnsi="Century Schoolbook"/>
          <w:sz w:val="27"/>
        </w:rPr>
        <w:t>.</w:t>
      </w:r>
    </w:p>
    <w:p w:rsidR="00E92628"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At the penalty phase, the prosecution sought to introduce evidence</w:t>
      </w:r>
      <w:r w:rsidRPr="0052255D" w:rsidR="00E8300A">
        <w:rPr>
          <w:rFonts w:ascii="Century Schoolbook" w:hAnsi="Century Schoolbook"/>
          <w:sz w:val="27"/>
        </w:rPr>
        <w:t xml:space="preserve"> under section 190.3, factor (b)</w:t>
      </w:r>
      <w:r w:rsidRPr="0052255D">
        <w:rPr>
          <w:rFonts w:ascii="Century Schoolbook" w:hAnsi="Century Schoolbook"/>
          <w:sz w:val="27"/>
        </w:rPr>
        <w:t xml:space="preserve"> that defendant and three other individuals robbed Kinsey in 1991.  </w:t>
      </w:r>
      <w:r w:rsidRPr="0052255D" w:rsidR="00C70A90">
        <w:rPr>
          <w:rFonts w:ascii="Century Schoolbook" w:hAnsi="Century Schoolbook"/>
          <w:sz w:val="27"/>
        </w:rPr>
        <w:t>S</w:t>
      </w:r>
      <w:r w:rsidRPr="0052255D">
        <w:rPr>
          <w:rFonts w:ascii="Century Schoolbook" w:hAnsi="Century Schoolbook"/>
          <w:sz w:val="27"/>
        </w:rPr>
        <w:t>ection 190.3, factor</w:t>
      </w:r>
      <w:r w:rsidR="00851754">
        <w:rPr>
          <w:rFonts w:ascii="Century Schoolbook" w:hAnsi="Century Schoolbook"/>
          <w:sz w:val="27"/>
        </w:rPr>
        <w:t> </w:t>
      </w:r>
      <w:r w:rsidRPr="0052255D">
        <w:rPr>
          <w:rFonts w:ascii="Century Schoolbook" w:hAnsi="Century Schoolbook"/>
          <w:sz w:val="27"/>
        </w:rPr>
        <w:t>(b</w:t>
      </w:r>
      <w:r w:rsidRPr="0052255D" w:rsidR="00C70A90">
        <w:rPr>
          <w:rFonts w:ascii="Century Schoolbook" w:hAnsi="Century Schoolbook"/>
          <w:sz w:val="27"/>
        </w:rPr>
        <w:t>) allows t</w:t>
      </w:r>
      <w:r w:rsidRPr="0052255D" w:rsidR="00D17148">
        <w:rPr>
          <w:rFonts w:ascii="Century Schoolbook" w:hAnsi="Century Schoolbook"/>
          <w:sz w:val="27"/>
        </w:rPr>
        <w:t xml:space="preserve">he </w:t>
      </w:r>
      <w:r w:rsidRPr="0052255D" w:rsidR="00C70A90">
        <w:rPr>
          <w:rFonts w:ascii="Century Schoolbook" w:hAnsi="Century Schoolbook"/>
          <w:sz w:val="27"/>
        </w:rPr>
        <w:t>jury</w:t>
      </w:r>
      <w:r w:rsidRPr="0052255D" w:rsidR="00D17148">
        <w:rPr>
          <w:rFonts w:ascii="Century Schoolbook" w:hAnsi="Century Schoolbook"/>
          <w:sz w:val="27"/>
        </w:rPr>
        <w:t xml:space="preserve"> </w:t>
      </w:r>
      <w:r w:rsidRPr="0052255D" w:rsidR="00C70A90">
        <w:rPr>
          <w:rFonts w:ascii="Century Schoolbook" w:hAnsi="Century Schoolbook"/>
          <w:sz w:val="27"/>
        </w:rPr>
        <w:t>to</w:t>
      </w:r>
      <w:r w:rsidRPr="0052255D" w:rsidR="00D17148">
        <w:rPr>
          <w:rFonts w:ascii="Century Schoolbook" w:hAnsi="Century Schoolbook"/>
          <w:sz w:val="27"/>
        </w:rPr>
        <w:t xml:space="preserve"> consider “</w:t>
      </w:r>
      <w:r w:rsidRPr="0052255D" w:rsidR="00F81B4D">
        <w:rPr>
          <w:rFonts w:ascii="Century Schoolbook" w:hAnsi="Century Schoolbook"/>
          <w:sz w:val="27"/>
        </w:rPr>
        <w:t xml:space="preserve">[t]he presence or absence of criminal activity by the defendant </w:t>
      </w:r>
      <w:r w:rsidRPr="0052255D" w:rsidR="00240400">
        <w:rPr>
          <w:rFonts w:ascii="Century Schoolbook" w:hAnsi="Century Schoolbook"/>
          <w:sz w:val="27"/>
        </w:rPr>
        <w:t xml:space="preserve">which involved the use or attempted use of force or violence or the express or implied threat to use force or violence.”  </w:t>
      </w:r>
      <w:r w:rsidRPr="0052255D" w:rsidR="00A33E60">
        <w:rPr>
          <w:rFonts w:ascii="Century Schoolbook" w:hAnsi="Century Schoolbook"/>
          <w:sz w:val="27"/>
        </w:rPr>
        <w:t>T</w:t>
      </w:r>
      <w:r w:rsidRPr="0052255D" w:rsidR="00C83421">
        <w:rPr>
          <w:rFonts w:ascii="Century Schoolbook" w:hAnsi="Century Schoolbook"/>
          <w:sz w:val="27"/>
        </w:rPr>
        <w:t xml:space="preserve">he trial court </w:t>
      </w:r>
      <w:r w:rsidRPr="0052255D" w:rsidR="00BF178F">
        <w:rPr>
          <w:rFonts w:ascii="Century Schoolbook" w:hAnsi="Century Schoolbook"/>
          <w:sz w:val="27"/>
        </w:rPr>
        <w:t>hel</w:t>
      </w:r>
      <w:r w:rsidRPr="0052255D" w:rsidR="00C83421">
        <w:rPr>
          <w:rFonts w:ascii="Century Schoolbook" w:hAnsi="Century Schoolbook"/>
          <w:sz w:val="27"/>
        </w:rPr>
        <w:t xml:space="preserve">d a </w:t>
      </w:r>
      <w:r w:rsidRPr="0052255D" w:rsidR="00C83421">
        <w:rPr>
          <w:rFonts w:ascii="Century Schoolbook" w:hAnsi="Century Schoolbook"/>
          <w:i/>
          <w:iCs/>
          <w:sz w:val="27"/>
        </w:rPr>
        <w:t xml:space="preserve">Phillips </w:t>
      </w:r>
      <w:r w:rsidRPr="0052255D" w:rsidR="00C83421">
        <w:rPr>
          <w:rFonts w:ascii="Century Schoolbook" w:hAnsi="Century Schoolbook"/>
          <w:color w:val="auto"/>
          <w:sz w:val="27"/>
        </w:rPr>
        <w:t>hearing (</w:t>
      </w:r>
      <w:r w:rsidRPr="0052255D" w:rsidR="00C83421">
        <w:rPr>
          <w:rFonts w:ascii="Century Schoolbook" w:hAnsi="Century Schoolbook"/>
          <w:i/>
          <w:iCs/>
          <w:color w:val="auto"/>
          <w:sz w:val="27"/>
        </w:rPr>
        <w:t>People v. Phillips</w:t>
      </w:r>
      <w:r w:rsidRPr="0052255D" w:rsidR="00C83421">
        <w:rPr>
          <w:rFonts w:ascii="Century Schoolbook" w:hAnsi="Century Schoolbook"/>
          <w:color w:val="auto"/>
          <w:sz w:val="27"/>
        </w:rPr>
        <w:t xml:space="preserve"> (1985) 41 Cal.3d 29) to </w:t>
      </w:r>
      <w:r w:rsidRPr="0052255D">
        <w:rPr>
          <w:rFonts w:ascii="Century Schoolbook" w:hAnsi="Century Schoolbook"/>
          <w:sz w:val="27"/>
        </w:rPr>
        <w:t xml:space="preserve">make a preliminary determination </w:t>
      </w:r>
      <w:r w:rsidRPr="0052255D" w:rsidR="007762AA">
        <w:rPr>
          <w:rFonts w:ascii="Century Schoolbook" w:hAnsi="Century Schoolbook"/>
          <w:sz w:val="27"/>
        </w:rPr>
        <w:t xml:space="preserve">concerning </w:t>
      </w:r>
      <w:r w:rsidRPr="0052255D" w:rsidR="00C83421">
        <w:rPr>
          <w:rFonts w:ascii="Century Schoolbook" w:hAnsi="Century Schoolbook"/>
          <w:sz w:val="27"/>
        </w:rPr>
        <w:t>whether there was substantial evidence to prove that defendant robbed Kinsey</w:t>
      </w:r>
      <w:r w:rsidRPr="0052255D" w:rsidR="00C83421">
        <w:rPr>
          <w:rFonts w:ascii="Century Schoolbook" w:hAnsi="Century Schoolbook"/>
          <w:color w:val="auto"/>
          <w:sz w:val="27"/>
        </w:rPr>
        <w:t xml:space="preserve">.  </w:t>
      </w:r>
      <w:r w:rsidRPr="0052255D" w:rsidR="00D55A2B">
        <w:rPr>
          <w:rFonts w:ascii="Century Schoolbook" w:hAnsi="Century Schoolbook"/>
          <w:color w:val="auto"/>
          <w:sz w:val="27"/>
        </w:rPr>
        <w:t>The court</w:t>
      </w:r>
      <w:r w:rsidRPr="0052255D" w:rsidR="00C83421">
        <w:rPr>
          <w:rFonts w:ascii="Century Schoolbook" w:hAnsi="Century Schoolbook"/>
          <w:color w:val="auto"/>
          <w:sz w:val="27"/>
        </w:rPr>
        <w:t xml:space="preserve"> </w:t>
      </w:r>
      <w:r w:rsidRPr="0052255D" w:rsidR="00D55A2B">
        <w:rPr>
          <w:rFonts w:ascii="Century Schoolbook" w:hAnsi="Century Schoolbook"/>
          <w:color w:val="auto"/>
          <w:sz w:val="27"/>
        </w:rPr>
        <w:t xml:space="preserve">subsequently </w:t>
      </w:r>
      <w:r w:rsidRPr="0052255D" w:rsidR="00436D73">
        <w:rPr>
          <w:rFonts w:ascii="Century Schoolbook" w:hAnsi="Century Schoolbook"/>
          <w:sz w:val="27"/>
        </w:rPr>
        <w:t>ruled that</w:t>
      </w:r>
      <w:r w:rsidRPr="0052255D" w:rsidR="00C83421">
        <w:rPr>
          <w:rFonts w:ascii="Century Schoolbook" w:hAnsi="Century Schoolbook"/>
          <w:sz w:val="27"/>
        </w:rPr>
        <w:t xml:space="preserve"> </w:t>
      </w:r>
      <w:r w:rsidRPr="0052255D" w:rsidR="00D55A2B">
        <w:rPr>
          <w:rFonts w:ascii="Century Schoolbook" w:hAnsi="Century Schoolbook"/>
          <w:sz w:val="27"/>
        </w:rPr>
        <w:t xml:space="preserve">the </w:t>
      </w:r>
      <w:r w:rsidRPr="0052255D" w:rsidR="00C83421">
        <w:rPr>
          <w:rFonts w:ascii="Century Schoolbook" w:hAnsi="Century Schoolbook"/>
          <w:sz w:val="27"/>
        </w:rPr>
        <w:t xml:space="preserve">evidence </w:t>
      </w:r>
      <w:r w:rsidRPr="0052255D" w:rsidR="00D55A2B">
        <w:rPr>
          <w:rFonts w:ascii="Century Schoolbook" w:hAnsi="Century Schoolbook"/>
          <w:sz w:val="27"/>
        </w:rPr>
        <w:t>fit within section 190.3, factor (b)</w:t>
      </w:r>
      <w:r w:rsidRPr="0052255D" w:rsidR="0083114F">
        <w:rPr>
          <w:rFonts w:ascii="Century Schoolbook" w:hAnsi="Century Schoolbook"/>
          <w:sz w:val="27"/>
        </w:rPr>
        <w:t xml:space="preserve"> </w:t>
      </w:r>
      <w:r w:rsidRPr="0052255D" w:rsidR="00322BC1">
        <w:rPr>
          <w:rFonts w:ascii="Century Schoolbook" w:hAnsi="Century Schoolbook"/>
          <w:sz w:val="27"/>
        </w:rPr>
        <w:t xml:space="preserve">as criminal activity involving the use or attempted use of force or violence </w:t>
      </w:r>
      <w:r w:rsidRPr="0052255D" w:rsidR="0083114F">
        <w:rPr>
          <w:rFonts w:ascii="Century Schoolbook" w:hAnsi="Century Schoolbook"/>
          <w:sz w:val="27"/>
        </w:rPr>
        <w:t>and would be admissible under that provision</w:t>
      </w:r>
      <w:r w:rsidRPr="0052255D" w:rsidR="00C83421">
        <w:rPr>
          <w:rFonts w:ascii="Century Schoolbook" w:hAnsi="Century Schoolbook"/>
          <w:sz w:val="27"/>
        </w:rPr>
        <w:t xml:space="preserve">.  </w:t>
      </w:r>
      <w:r w:rsidRPr="0052255D" w:rsidR="00C83421">
        <w:rPr>
          <w:rFonts w:ascii="Century Schoolbook" w:hAnsi="Century Schoolbook"/>
          <w:color w:val="auto"/>
          <w:sz w:val="27"/>
        </w:rPr>
        <w:t>Defendant did not object</w:t>
      </w:r>
      <w:r w:rsidRPr="0052255D" w:rsidR="00121CBD">
        <w:rPr>
          <w:rFonts w:ascii="Century Schoolbook" w:hAnsi="Century Schoolbook"/>
          <w:color w:val="auto"/>
          <w:sz w:val="27"/>
        </w:rPr>
        <w:t xml:space="preserve"> to the trial court’s ruling</w:t>
      </w:r>
      <w:r w:rsidRPr="0052255D" w:rsidR="00C83421">
        <w:rPr>
          <w:rFonts w:ascii="Century Schoolbook" w:hAnsi="Century Schoolbook"/>
          <w:color w:val="auto"/>
          <w:sz w:val="27"/>
        </w:rPr>
        <w:t xml:space="preserve">.  </w:t>
      </w:r>
      <w:r w:rsidRPr="0052255D" w:rsidR="00C805B3">
        <w:rPr>
          <w:rFonts w:ascii="Century Schoolbook" w:hAnsi="Century Schoolbook"/>
          <w:color w:val="auto"/>
          <w:sz w:val="27"/>
        </w:rPr>
        <w:t xml:space="preserve">  </w:t>
      </w:r>
    </w:p>
    <w:p w:rsidR="00C83421"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color w:val="auto"/>
          <w:sz w:val="27"/>
        </w:rPr>
        <w:t xml:space="preserve">The prosecution subsequently presented </w:t>
      </w:r>
      <w:r w:rsidRPr="0052255D" w:rsidR="00A54958">
        <w:rPr>
          <w:rFonts w:ascii="Century Schoolbook" w:hAnsi="Century Schoolbook"/>
          <w:color w:val="auto"/>
          <w:sz w:val="27"/>
        </w:rPr>
        <w:t xml:space="preserve">the following </w:t>
      </w:r>
      <w:r w:rsidRPr="0052255D">
        <w:rPr>
          <w:rFonts w:ascii="Century Schoolbook" w:hAnsi="Century Schoolbook"/>
          <w:color w:val="auto"/>
          <w:sz w:val="27"/>
        </w:rPr>
        <w:t xml:space="preserve">evidence </w:t>
      </w:r>
      <w:r w:rsidRPr="0052255D" w:rsidR="00A54958">
        <w:rPr>
          <w:rFonts w:ascii="Century Schoolbook" w:hAnsi="Century Schoolbook"/>
          <w:color w:val="auto"/>
          <w:sz w:val="27"/>
        </w:rPr>
        <w:t>regarding defendant’s participation in the robbery of Kinse</w:t>
      </w:r>
      <w:r w:rsidRPr="0052255D" w:rsidR="00EB261E">
        <w:rPr>
          <w:rFonts w:ascii="Century Schoolbook" w:hAnsi="Century Schoolbook"/>
          <w:color w:val="auto"/>
          <w:sz w:val="27"/>
        </w:rPr>
        <w:t xml:space="preserve">y:  Defendant and three other individuals approached Kinsey when he was </w:t>
      </w:r>
      <w:r w:rsidRPr="0052255D" w:rsidR="00F43E9F">
        <w:rPr>
          <w:rFonts w:ascii="Century Schoolbook" w:hAnsi="Century Schoolbook"/>
          <w:color w:val="auto"/>
          <w:sz w:val="27"/>
        </w:rPr>
        <w:t>walking in Hollywood</w:t>
      </w:r>
      <w:r w:rsidRPr="0052255D">
        <w:rPr>
          <w:rFonts w:ascii="Century Schoolbook" w:hAnsi="Century Schoolbook"/>
          <w:color w:val="auto"/>
          <w:sz w:val="27"/>
        </w:rPr>
        <w:t xml:space="preserve">.  </w:t>
      </w:r>
      <w:r w:rsidRPr="0052255D" w:rsidR="00F43E9F">
        <w:rPr>
          <w:rFonts w:ascii="Century Schoolbook" w:hAnsi="Century Schoolbook"/>
          <w:color w:val="auto"/>
          <w:sz w:val="27"/>
        </w:rPr>
        <w:t xml:space="preserve">Defendant </w:t>
      </w:r>
      <w:r w:rsidRPr="0052255D" w:rsidR="00DD1D00">
        <w:rPr>
          <w:rFonts w:ascii="Century Schoolbook" w:hAnsi="Century Schoolbook"/>
          <w:color w:val="auto"/>
          <w:sz w:val="27"/>
        </w:rPr>
        <w:t xml:space="preserve">moved toward </w:t>
      </w:r>
      <w:r w:rsidRPr="0052255D" w:rsidR="00F43E9F">
        <w:rPr>
          <w:rFonts w:ascii="Century Schoolbook" w:hAnsi="Century Schoolbook"/>
          <w:color w:val="auto"/>
          <w:sz w:val="27"/>
        </w:rPr>
        <w:t xml:space="preserve">Kinsey, </w:t>
      </w:r>
      <w:r w:rsidRPr="0052255D" w:rsidR="00DD1D00">
        <w:rPr>
          <w:rFonts w:ascii="Century Schoolbook" w:hAnsi="Century Schoolbook"/>
          <w:color w:val="auto"/>
          <w:sz w:val="27"/>
        </w:rPr>
        <w:t>commenting</w:t>
      </w:r>
      <w:r w:rsidRPr="0052255D" w:rsidR="00F43E9F">
        <w:rPr>
          <w:rFonts w:ascii="Century Schoolbook" w:hAnsi="Century Schoolbook"/>
          <w:color w:val="auto"/>
          <w:sz w:val="27"/>
        </w:rPr>
        <w:t xml:space="preserve"> on </w:t>
      </w:r>
      <w:r w:rsidRPr="0052255D" w:rsidR="00DD1D00">
        <w:rPr>
          <w:rFonts w:ascii="Century Schoolbook" w:hAnsi="Century Schoolbook"/>
          <w:color w:val="auto"/>
          <w:sz w:val="27"/>
        </w:rPr>
        <w:t xml:space="preserve">Kinsey’s </w:t>
      </w:r>
      <w:r w:rsidRPr="0052255D" w:rsidR="00F43E9F">
        <w:rPr>
          <w:rFonts w:ascii="Century Schoolbook" w:hAnsi="Century Schoolbook"/>
          <w:color w:val="auto"/>
          <w:sz w:val="27"/>
        </w:rPr>
        <w:t xml:space="preserve">briefcase.  </w:t>
      </w:r>
      <w:r w:rsidRPr="0052255D" w:rsidR="00DD1D00">
        <w:rPr>
          <w:rFonts w:ascii="Century Schoolbook" w:hAnsi="Century Schoolbook"/>
          <w:color w:val="auto"/>
          <w:sz w:val="27"/>
        </w:rPr>
        <w:t xml:space="preserve">One of the </w:t>
      </w:r>
      <w:r w:rsidRPr="0052255D" w:rsidR="000B7098">
        <w:rPr>
          <w:rFonts w:ascii="Century Schoolbook" w:hAnsi="Century Schoolbook"/>
          <w:color w:val="auto"/>
          <w:sz w:val="27"/>
        </w:rPr>
        <w:t xml:space="preserve">other individuals grabbed Kinsey’s briefcase and fled.  Defendant then pushed Kinsey and demanded money from him.  </w:t>
      </w:r>
      <w:r w:rsidRPr="0052255D" w:rsidR="00AE54E7">
        <w:rPr>
          <w:rFonts w:ascii="Century Schoolbook" w:hAnsi="Century Schoolbook"/>
          <w:color w:val="auto"/>
          <w:sz w:val="27"/>
        </w:rPr>
        <w:t>As defendant approached Kinsey, he</w:t>
      </w:r>
      <w:r w:rsidRPr="0052255D" w:rsidR="006868BD">
        <w:rPr>
          <w:rFonts w:ascii="Century Schoolbook" w:hAnsi="Century Schoolbook"/>
          <w:color w:val="auto"/>
          <w:sz w:val="27"/>
        </w:rPr>
        <w:t xml:space="preserve"> </w:t>
      </w:r>
      <w:r w:rsidRPr="0052255D" w:rsidR="00AE54E7">
        <w:rPr>
          <w:rFonts w:ascii="Century Schoolbook" w:hAnsi="Century Schoolbook"/>
          <w:color w:val="auto"/>
          <w:sz w:val="27"/>
        </w:rPr>
        <w:t>said</w:t>
      </w:r>
      <w:r w:rsidRPr="0052255D" w:rsidR="00D93220">
        <w:rPr>
          <w:rFonts w:ascii="Century Schoolbook" w:hAnsi="Century Schoolbook"/>
          <w:color w:val="auto"/>
          <w:sz w:val="27"/>
        </w:rPr>
        <w:t>,</w:t>
      </w:r>
      <w:r w:rsidRPr="0052255D" w:rsidR="006868BD">
        <w:rPr>
          <w:rFonts w:ascii="Century Schoolbook" w:hAnsi="Century Schoolbook"/>
          <w:color w:val="auto"/>
          <w:sz w:val="27"/>
        </w:rPr>
        <w:t xml:space="preserve"> </w:t>
      </w:r>
      <w:r w:rsidRPr="0052255D" w:rsidR="00D666B1">
        <w:rPr>
          <w:rFonts w:ascii="Century Schoolbook" w:hAnsi="Century Schoolbook"/>
          <w:color w:val="auto"/>
          <w:sz w:val="27"/>
        </w:rPr>
        <w:t>“I’m going to fuck you up</w:t>
      </w:r>
      <w:r w:rsidRPr="0052255D" w:rsidR="00AE54E7">
        <w:rPr>
          <w:rFonts w:ascii="Century Schoolbook" w:hAnsi="Century Schoolbook"/>
          <w:color w:val="auto"/>
          <w:sz w:val="27"/>
        </w:rPr>
        <w:t>.</w:t>
      </w:r>
      <w:r w:rsidRPr="0052255D" w:rsidR="00D666B1">
        <w:rPr>
          <w:rFonts w:ascii="Century Schoolbook" w:hAnsi="Century Schoolbook"/>
          <w:color w:val="auto"/>
          <w:sz w:val="27"/>
        </w:rPr>
        <w:t>”</w:t>
      </w:r>
      <w:r w:rsidRPr="0052255D" w:rsidR="00AE54E7">
        <w:rPr>
          <w:rFonts w:ascii="Century Schoolbook" w:hAnsi="Century Schoolbook"/>
          <w:color w:val="auto"/>
          <w:sz w:val="27"/>
        </w:rPr>
        <w:t xml:space="preserve"> </w:t>
      </w:r>
      <w:r w:rsidRPr="0052255D" w:rsidR="00D666B1">
        <w:rPr>
          <w:rFonts w:ascii="Century Schoolbook" w:hAnsi="Century Schoolbook"/>
          <w:color w:val="auto"/>
          <w:sz w:val="27"/>
        </w:rPr>
        <w:t xml:space="preserve"> Defendant also pulled his fist back as if to punch Kinsey.  </w:t>
      </w:r>
      <w:r w:rsidRPr="0052255D" w:rsidR="00B15DAA">
        <w:rPr>
          <w:rFonts w:ascii="Century Schoolbook" w:hAnsi="Century Schoolbook"/>
          <w:color w:val="auto"/>
          <w:sz w:val="27"/>
        </w:rPr>
        <w:t xml:space="preserve">A patrolling officer saw three men, including defendant, cornering </w:t>
      </w:r>
      <w:r w:rsidRPr="0052255D" w:rsidR="00DA1B7D">
        <w:rPr>
          <w:rFonts w:ascii="Century Schoolbook" w:hAnsi="Century Schoolbook"/>
          <w:color w:val="auto"/>
          <w:sz w:val="27"/>
        </w:rPr>
        <w:t xml:space="preserve">and pushing </w:t>
      </w:r>
      <w:r w:rsidRPr="0052255D" w:rsidR="00B15DAA">
        <w:rPr>
          <w:rFonts w:ascii="Century Schoolbook" w:hAnsi="Century Schoolbook"/>
          <w:color w:val="auto"/>
          <w:sz w:val="27"/>
        </w:rPr>
        <w:t>Kinsey</w:t>
      </w:r>
      <w:r w:rsidRPr="0052255D" w:rsidR="0092511A">
        <w:rPr>
          <w:rFonts w:ascii="Century Schoolbook" w:hAnsi="Century Schoolbook"/>
          <w:color w:val="auto"/>
          <w:sz w:val="27"/>
        </w:rPr>
        <w:t xml:space="preserve">.  The officer </w:t>
      </w:r>
      <w:r w:rsidRPr="0052255D" w:rsidR="006D2CEF">
        <w:rPr>
          <w:rFonts w:ascii="Century Schoolbook" w:hAnsi="Century Schoolbook"/>
          <w:color w:val="auto"/>
          <w:sz w:val="27"/>
        </w:rPr>
        <w:t>approached the group, ordered everyone on the ground</w:t>
      </w:r>
      <w:r w:rsidRPr="0052255D" w:rsidR="009E3ED7">
        <w:rPr>
          <w:rFonts w:ascii="Century Schoolbook" w:hAnsi="Century Schoolbook"/>
          <w:color w:val="auto"/>
          <w:sz w:val="27"/>
        </w:rPr>
        <w:t xml:space="preserve">, and interviewed the individuals to determine what </w:t>
      </w:r>
      <w:r w:rsidRPr="0052255D" w:rsidR="00E71015">
        <w:rPr>
          <w:rFonts w:ascii="Century Schoolbook" w:hAnsi="Century Schoolbook"/>
          <w:color w:val="auto"/>
          <w:sz w:val="27"/>
        </w:rPr>
        <w:t>had occurred</w:t>
      </w:r>
      <w:r w:rsidRPr="0052255D" w:rsidR="0092511A">
        <w:rPr>
          <w:rFonts w:ascii="Century Schoolbook" w:hAnsi="Century Schoolbook"/>
          <w:color w:val="auto"/>
          <w:sz w:val="27"/>
        </w:rPr>
        <w:t xml:space="preserve">.  </w:t>
      </w:r>
      <w:r w:rsidRPr="0052255D" w:rsidR="008C6216">
        <w:rPr>
          <w:rFonts w:ascii="Century Schoolbook" w:hAnsi="Century Schoolbook"/>
          <w:color w:val="auto"/>
          <w:sz w:val="27"/>
        </w:rPr>
        <w:t xml:space="preserve">Kinsey told the officer that defendant </w:t>
      </w:r>
      <w:r w:rsidRPr="0052255D" w:rsidR="005D322B">
        <w:rPr>
          <w:rFonts w:ascii="Century Schoolbook" w:hAnsi="Century Schoolbook"/>
          <w:color w:val="auto"/>
          <w:sz w:val="27"/>
        </w:rPr>
        <w:t xml:space="preserve">had asked Kinsey for more </w:t>
      </w:r>
      <w:r w:rsidRPr="0052255D" w:rsidR="008C6216">
        <w:rPr>
          <w:rFonts w:ascii="Century Schoolbook" w:hAnsi="Century Schoolbook"/>
          <w:color w:val="auto"/>
          <w:sz w:val="27"/>
        </w:rPr>
        <w:t>money</w:t>
      </w:r>
      <w:r w:rsidRPr="0052255D" w:rsidR="005D322B">
        <w:rPr>
          <w:rFonts w:ascii="Century Schoolbook" w:hAnsi="Century Schoolbook"/>
          <w:color w:val="auto"/>
          <w:sz w:val="27"/>
        </w:rPr>
        <w:t xml:space="preserve">, pushed Kinsey, and pulled his arm back as if to punch Kinsey.  </w:t>
      </w:r>
      <w:r w:rsidRPr="0052255D" w:rsidR="00C9790B">
        <w:rPr>
          <w:rFonts w:ascii="Century Schoolbook" w:hAnsi="Century Schoolbook"/>
          <w:color w:val="auto"/>
          <w:sz w:val="27"/>
        </w:rPr>
        <w:t xml:space="preserve">  </w:t>
      </w:r>
    </w:p>
    <w:p w:rsidR="00C00128"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T</w:t>
      </w:r>
      <w:r w:rsidRPr="0052255D">
        <w:rPr>
          <w:rFonts w:ascii="Century Schoolbook" w:hAnsi="Century Schoolbook"/>
          <w:sz w:val="27"/>
        </w:rPr>
        <w:t xml:space="preserve">he trial court </w:t>
      </w:r>
      <w:r w:rsidRPr="0052255D" w:rsidR="00EC72AF">
        <w:rPr>
          <w:rFonts w:ascii="Century Schoolbook" w:hAnsi="Century Schoolbook"/>
          <w:sz w:val="27"/>
        </w:rPr>
        <w:t>instructed</w:t>
      </w:r>
      <w:r w:rsidRPr="0052255D">
        <w:rPr>
          <w:rFonts w:ascii="Century Schoolbook" w:hAnsi="Century Schoolbook"/>
          <w:sz w:val="27"/>
        </w:rPr>
        <w:t xml:space="preserve"> the jury that</w:t>
      </w:r>
      <w:r w:rsidRPr="0052255D" w:rsidR="00E40C9C">
        <w:rPr>
          <w:rFonts w:ascii="Century Schoolbook" w:hAnsi="Century Schoolbook"/>
          <w:sz w:val="27"/>
        </w:rPr>
        <w:t xml:space="preserve"> </w:t>
      </w:r>
      <w:r w:rsidRPr="0052255D" w:rsidR="00914800">
        <w:rPr>
          <w:rFonts w:ascii="Century Schoolbook" w:hAnsi="Century Schoolbook"/>
          <w:sz w:val="27"/>
        </w:rPr>
        <w:t xml:space="preserve">in determining which penalty to impose, if applicable, it shall consider “the presence or absence of criminal activity by the defendant, other than the crimes for which the defendant has been tried in the present proceedings, which involved the </w:t>
      </w:r>
      <w:r w:rsidRPr="0052255D" w:rsidR="00FB3EED">
        <w:rPr>
          <w:rFonts w:ascii="Century Schoolbook" w:hAnsi="Century Schoolbook"/>
          <w:sz w:val="27"/>
        </w:rPr>
        <w:t xml:space="preserve">use or attempted use of force or violence or the express or implied threat to use force or violence.”  </w:t>
      </w:r>
      <w:r w:rsidRPr="0052255D" w:rsidR="00390D75">
        <w:rPr>
          <w:rFonts w:ascii="Century Schoolbook" w:hAnsi="Century Schoolbook"/>
          <w:sz w:val="27"/>
        </w:rPr>
        <w:t>The court</w:t>
      </w:r>
      <w:r w:rsidRPr="0052255D" w:rsidR="00FB3EED">
        <w:rPr>
          <w:rFonts w:ascii="Century Schoolbook" w:hAnsi="Century Schoolbook"/>
          <w:sz w:val="27"/>
        </w:rPr>
        <w:t xml:space="preserve"> further instructed the jury </w:t>
      </w:r>
      <w:r w:rsidRPr="0052255D" w:rsidR="00E40C9C">
        <w:rPr>
          <w:rFonts w:ascii="Century Schoolbook" w:hAnsi="Century Schoolbook"/>
          <w:sz w:val="27"/>
        </w:rPr>
        <w:t>th</w:t>
      </w:r>
      <w:r w:rsidRPr="0052255D" w:rsidR="00F73C1F">
        <w:rPr>
          <w:rFonts w:ascii="Century Schoolbook" w:hAnsi="Century Schoolbook"/>
          <w:sz w:val="27"/>
        </w:rPr>
        <w:t>at</w:t>
      </w:r>
      <w:r w:rsidRPr="0052255D">
        <w:rPr>
          <w:rFonts w:ascii="Century Schoolbook" w:hAnsi="Century Schoolbook"/>
          <w:sz w:val="27"/>
        </w:rPr>
        <w:t xml:space="preserve"> </w:t>
      </w:r>
      <w:r w:rsidRPr="0052255D" w:rsidR="00FD4328">
        <w:rPr>
          <w:rFonts w:ascii="Century Schoolbook" w:hAnsi="Century Schoolbook"/>
          <w:sz w:val="27"/>
        </w:rPr>
        <w:t xml:space="preserve">evidence was introduced for the purpose of showing that defendant committed </w:t>
      </w:r>
      <w:r w:rsidRPr="0052255D" w:rsidR="00E40C9C">
        <w:rPr>
          <w:rFonts w:ascii="Century Schoolbook" w:hAnsi="Century Schoolbook"/>
          <w:sz w:val="27"/>
        </w:rPr>
        <w:t xml:space="preserve">a </w:t>
      </w:r>
      <w:r w:rsidRPr="0052255D" w:rsidR="00FD4328">
        <w:rPr>
          <w:rFonts w:ascii="Century Schoolbook" w:hAnsi="Century Schoolbook"/>
          <w:sz w:val="27"/>
        </w:rPr>
        <w:t xml:space="preserve">second degree robbery </w:t>
      </w:r>
      <w:r w:rsidRPr="0052255D" w:rsidR="00E40C9C">
        <w:rPr>
          <w:rFonts w:ascii="Century Schoolbook" w:hAnsi="Century Schoolbook"/>
          <w:sz w:val="27"/>
        </w:rPr>
        <w:t>against</w:t>
      </w:r>
      <w:r w:rsidRPr="0052255D" w:rsidR="00FD4328">
        <w:rPr>
          <w:rFonts w:ascii="Century Schoolbook" w:hAnsi="Century Schoolbook"/>
          <w:sz w:val="27"/>
        </w:rPr>
        <w:t xml:space="preserve"> Kinsey</w:t>
      </w:r>
      <w:r w:rsidRPr="0052255D" w:rsidR="00F73C1F">
        <w:rPr>
          <w:rFonts w:ascii="Century Schoolbook" w:hAnsi="Century Schoolbook"/>
          <w:color w:val="auto"/>
          <w:sz w:val="27"/>
        </w:rPr>
        <w:t xml:space="preserve">, and that </w:t>
      </w:r>
      <w:r w:rsidRPr="0052255D" w:rsidR="00B01722">
        <w:rPr>
          <w:rFonts w:ascii="Century Schoolbook" w:hAnsi="Century Schoolbook"/>
          <w:color w:val="auto"/>
          <w:sz w:val="27"/>
        </w:rPr>
        <w:t xml:space="preserve">in order for </w:t>
      </w:r>
      <w:r w:rsidRPr="0052255D" w:rsidR="00B25307">
        <w:rPr>
          <w:rFonts w:ascii="Century Schoolbook" w:hAnsi="Century Schoolbook"/>
          <w:sz w:val="27"/>
        </w:rPr>
        <w:t xml:space="preserve">a juror </w:t>
      </w:r>
      <w:r w:rsidRPr="0052255D" w:rsidR="007F01F4">
        <w:rPr>
          <w:rFonts w:ascii="Century Schoolbook" w:hAnsi="Century Schoolbook"/>
          <w:sz w:val="27"/>
        </w:rPr>
        <w:t xml:space="preserve">to </w:t>
      </w:r>
      <w:r w:rsidRPr="0052255D" w:rsidR="00E62466">
        <w:rPr>
          <w:rFonts w:ascii="Century Schoolbook" w:hAnsi="Century Schoolbook"/>
          <w:sz w:val="27"/>
        </w:rPr>
        <w:t xml:space="preserve">consider the robbery of Kinsey as an aggravating circumstance, </w:t>
      </w:r>
      <w:r w:rsidRPr="0052255D" w:rsidR="00295635">
        <w:rPr>
          <w:rFonts w:ascii="Century Schoolbook" w:hAnsi="Century Schoolbook"/>
          <w:sz w:val="27"/>
        </w:rPr>
        <w:t xml:space="preserve">the juror </w:t>
      </w:r>
      <w:r w:rsidRPr="0052255D" w:rsidR="00E62466">
        <w:rPr>
          <w:rFonts w:ascii="Century Schoolbook" w:hAnsi="Century Schoolbook"/>
          <w:sz w:val="27"/>
        </w:rPr>
        <w:t xml:space="preserve">must find beyond a reasonable doubt that defendant </w:t>
      </w:r>
      <w:r w:rsidRPr="0052255D" w:rsidR="002A0578">
        <w:rPr>
          <w:rFonts w:ascii="Century Schoolbook" w:hAnsi="Century Schoolbook"/>
          <w:sz w:val="27"/>
        </w:rPr>
        <w:t xml:space="preserve">did in fact commit </w:t>
      </w:r>
      <w:r w:rsidRPr="0052255D" w:rsidR="00295635">
        <w:rPr>
          <w:rFonts w:ascii="Century Schoolbook" w:hAnsi="Century Schoolbook"/>
          <w:sz w:val="27"/>
        </w:rPr>
        <w:t>the criminal activity.</w:t>
      </w:r>
      <w:r w:rsidRPr="0052255D" w:rsidR="00EC72AF">
        <w:rPr>
          <w:rFonts w:ascii="Century Schoolbook" w:hAnsi="Century Schoolbook"/>
          <w:sz w:val="27"/>
        </w:rPr>
        <w:t xml:space="preserve">  </w:t>
      </w:r>
      <w:r w:rsidRPr="0052255D" w:rsidR="0070266E">
        <w:rPr>
          <w:rFonts w:ascii="Century Schoolbook" w:hAnsi="Century Schoolbook"/>
          <w:sz w:val="27"/>
        </w:rPr>
        <w:t xml:space="preserve">The </w:t>
      </w:r>
      <w:r w:rsidRPr="0052255D" w:rsidR="00721756">
        <w:rPr>
          <w:rFonts w:ascii="Century Schoolbook" w:hAnsi="Century Schoolbook"/>
          <w:sz w:val="27"/>
        </w:rPr>
        <w:t xml:space="preserve">court </w:t>
      </w:r>
      <w:r w:rsidRPr="0052255D" w:rsidR="00103BEC">
        <w:rPr>
          <w:rFonts w:ascii="Century Schoolbook" w:hAnsi="Century Schoolbook"/>
          <w:sz w:val="27"/>
        </w:rPr>
        <w:t>also</w:t>
      </w:r>
      <w:r w:rsidRPr="0052255D" w:rsidR="00721756">
        <w:rPr>
          <w:rFonts w:ascii="Century Schoolbook" w:hAnsi="Century Schoolbook"/>
          <w:sz w:val="27"/>
        </w:rPr>
        <w:t xml:space="preserve"> instructed the jury</w:t>
      </w:r>
      <w:r w:rsidRPr="0052255D" w:rsidR="00D96CC0">
        <w:rPr>
          <w:rFonts w:ascii="Century Schoolbook" w:hAnsi="Century Schoolbook"/>
          <w:sz w:val="27"/>
        </w:rPr>
        <w:t xml:space="preserve"> </w:t>
      </w:r>
      <w:r w:rsidRPr="0052255D" w:rsidR="0070266E">
        <w:rPr>
          <w:rFonts w:ascii="Century Schoolbook" w:hAnsi="Century Schoolbook"/>
          <w:sz w:val="27"/>
        </w:rPr>
        <w:t>on the elements of robbery</w:t>
      </w:r>
      <w:r w:rsidRPr="0052255D" w:rsidR="00D96CC0">
        <w:rPr>
          <w:rFonts w:ascii="Century Schoolbook" w:hAnsi="Century Schoolbook"/>
          <w:color w:val="auto"/>
          <w:sz w:val="27"/>
        </w:rPr>
        <w:t xml:space="preserve">.  </w:t>
      </w:r>
      <w:r w:rsidRPr="0052255D" w:rsidR="00211F95">
        <w:rPr>
          <w:rFonts w:ascii="Century Schoolbook" w:hAnsi="Century Schoolbook"/>
          <w:color w:val="auto"/>
          <w:sz w:val="27"/>
        </w:rPr>
        <w:t>It</w:t>
      </w:r>
      <w:r w:rsidRPr="0052255D" w:rsidR="00B72B41">
        <w:rPr>
          <w:rFonts w:ascii="Century Schoolbook" w:hAnsi="Century Schoolbook"/>
          <w:color w:val="auto"/>
          <w:sz w:val="27"/>
        </w:rPr>
        <w:t> </w:t>
      </w:r>
      <w:r w:rsidRPr="0052255D" w:rsidR="00211F95">
        <w:rPr>
          <w:rFonts w:ascii="Century Schoolbook" w:hAnsi="Century Schoolbook"/>
          <w:color w:val="auto"/>
          <w:sz w:val="27"/>
        </w:rPr>
        <w:t xml:space="preserve">further instructed:  “For the purpose of determining whether a person is guilty as an aider or abettor to robbery, the commission of the crime of robbery is not confined to a fixed place or a limited period of time, and may continue[] so long as the stolen property is being carried away to a place of temporary safety.”  </w:t>
      </w:r>
    </w:p>
    <w:p w:rsidR="00D666B1"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 xml:space="preserve">Defendant contends the evidence supported a finding </w:t>
      </w:r>
      <w:r w:rsidRPr="0052255D" w:rsidR="00E64414">
        <w:rPr>
          <w:rFonts w:ascii="Century Schoolbook" w:hAnsi="Century Schoolbook"/>
          <w:sz w:val="27"/>
        </w:rPr>
        <w:t>of his involvement in Kinsey’s robbery as an aider and abettor only, and the</w:t>
      </w:r>
      <w:r w:rsidRPr="0052255D" w:rsidR="00395CBA">
        <w:rPr>
          <w:rFonts w:ascii="Century Schoolbook" w:hAnsi="Century Schoolbook"/>
          <w:sz w:val="27"/>
        </w:rPr>
        <w:t>refore the</w:t>
      </w:r>
      <w:r w:rsidRPr="0052255D" w:rsidR="00E64414">
        <w:rPr>
          <w:rFonts w:ascii="Century Schoolbook" w:hAnsi="Century Schoolbook"/>
          <w:sz w:val="27"/>
        </w:rPr>
        <w:t xml:space="preserve"> trial court </w:t>
      </w:r>
      <w:r w:rsidRPr="0052255D" w:rsidR="00BB21F7">
        <w:rPr>
          <w:rFonts w:ascii="Century Schoolbook" w:hAnsi="Century Schoolbook"/>
          <w:sz w:val="27"/>
        </w:rPr>
        <w:t xml:space="preserve">should have </w:t>
      </w:r>
      <w:r w:rsidRPr="0052255D" w:rsidR="004E6CEA">
        <w:rPr>
          <w:rFonts w:ascii="Century Schoolbook" w:hAnsi="Century Schoolbook"/>
          <w:sz w:val="27"/>
        </w:rPr>
        <w:t>provided CALJIC Nos.</w:t>
      </w:r>
      <w:r w:rsidR="00851754">
        <w:rPr>
          <w:rFonts w:ascii="Century Schoolbook" w:hAnsi="Century Schoolbook"/>
          <w:sz w:val="27"/>
        </w:rPr>
        <w:t> </w:t>
      </w:r>
      <w:r w:rsidRPr="0052255D" w:rsidR="004E6CEA">
        <w:rPr>
          <w:rFonts w:ascii="Century Schoolbook" w:hAnsi="Century Schoolbook"/>
          <w:sz w:val="27"/>
        </w:rPr>
        <w:t>3.00 and 3.01, which describe</w:t>
      </w:r>
      <w:r w:rsidRPr="0052255D" w:rsidR="00BB21F7">
        <w:rPr>
          <w:rFonts w:ascii="Century Schoolbook" w:hAnsi="Century Schoolbook"/>
          <w:sz w:val="27"/>
        </w:rPr>
        <w:t xml:space="preserve"> the essential elements of aider and abettor liability.</w:t>
      </w:r>
      <w:r w:rsidRPr="0052255D" w:rsidR="007C1761">
        <w:rPr>
          <w:rFonts w:ascii="Century Schoolbook" w:hAnsi="Century Schoolbook"/>
          <w:sz w:val="27"/>
        </w:rPr>
        <w:t xml:space="preserve">  </w:t>
      </w:r>
      <w:r w:rsidRPr="0052255D" w:rsidR="004E6CEA">
        <w:rPr>
          <w:rFonts w:ascii="Century Schoolbook" w:hAnsi="Century Schoolbook"/>
          <w:sz w:val="27"/>
        </w:rPr>
        <w:t>Defendant</w:t>
      </w:r>
      <w:r w:rsidRPr="0052255D" w:rsidR="007C1761">
        <w:rPr>
          <w:rFonts w:ascii="Century Schoolbook" w:hAnsi="Century Schoolbook"/>
          <w:sz w:val="27"/>
        </w:rPr>
        <w:t xml:space="preserve"> maintains that </w:t>
      </w:r>
      <w:r w:rsidRPr="0052255D" w:rsidR="00EA1A19">
        <w:rPr>
          <w:rFonts w:ascii="Century Schoolbook" w:hAnsi="Century Schoolbook"/>
          <w:sz w:val="27"/>
        </w:rPr>
        <w:t xml:space="preserve">without such an instruction, the prosecution </w:t>
      </w:r>
      <w:r w:rsidRPr="0052255D" w:rsidR="00FE7B36">
        <w:rPr>
          <w:rFonts w:ascii="Century Schoolbook" w:hAnsi="Century Schoolbook"/>
          <w:sz w:val="27"/>
        </w:rPr>
        <w:t>could</w:t>
      </w:r>
      <w:r w:rsidRPr="0052255D" w:rsidR="00EA1A19">
        <w:rPr>
          <w:rFonts w:ascii="Century Schoolbook" w:hAnsi="Century Schoolbook"/>
          <w:sz w:val="27"/>
        </w:rPr>
        <w:t xml:space="preserve"> </w:t>
      </w:r>
      <w:r w:rsidRPr="0052255D" w:rsidR="00FE7B36">
        <w:rPr>
          <w:rFonts w:ascii="Century Schoolbook" w:hAnsi="Century Schoolbook"/>
          <w:sz w:val="27"/>
        </w:rPr>
        <w:t xml:space="preserve">proceed </w:t>
      </w:r>
      <w:r w:rsidRPr="0052255D" w:rsidR="000B2CCB">
        <w:rPr>
          <w:rFonts w:ascii="Century Schoolbook" w:hAnsi="Century Schoolbook"/>
          <w:sz w:val="27"/>
        </w:rPr>
        <w:t xml:space="preserve">only </w:t>
      </w:r>
      <w:r w:rsidRPr="0052255D" w:rsidR="00EA1A19">
        <w:rPr>
          <w:rFonts w:ascii="Century Schoolbook" w:hAnsi="Century Schoolbook"/>
          <w:sz w:val="27"/>
        </w:rPr>
        <w:t>on a direct perpetrator theory of liability</w:t>
      </w:r>
      <w:r w:rsidRPr="0052255D" w:rsidR="000F4241">
        <w:rPr>
          <w:rFonts w:ascii="Century Schoolbook" w:hAnsi="Century Schoolbook"/>
          <w:sz w:val="27"/>
        </w:rPr>
        <w:t xml:space="preserve"> for the robbery of Kinsey,</w:t>
      </w:r>
      <w:r w:rsidRPr="0052255D" w:rsidR="00EA1A19">
        <w:rPr>
          <w:rFonts w:ascii="Century Schoolbook" w:hAnsi="Century Schoolbook"/>
          <w:sz w:val="27"/>
        </w:rPr>
        <w:t xml:space="preserve"> and </w:t>
      </w:r>
      <w:r w:rsidRPr="0052255D" w:rsidR="000F4241">
        <w:rPr>
          <w:rFonts w:ascii="Century Schoolbook" w:hAnsi="Century Schoolbook"/>
          <w:sz w:val="27"/>
        </w:rPr>
        <w:t xml:space="preserve">the evidence </w:t>
      </w:r>
      <w:r w:rsidRPr="0052255D" w:rsidR="00163B15">
        <w:rPr>
          <w:rFonts w:ascii="Century Schoolbook" w:hAnsi="Century Schoolbook"/>
          <w:sz w:val="27"/>
        </w:rPr>
        <w:t>wa</w:t>
      </w:r>
      <w:r w:rsidRPr="0052255D" w:rsidR="000F4241">
        <w:rPr>
          <w:rFonts w:ascii="Century Schoolbook" w:hAnsi="Century Schoolbook"/>
          <w:sz w:val="27"/>
        </w:rPr>
        <w:t>s insufficient as a matter of law to show that defendant robbed Kinsey</w:t>
      </w:r>
      <w:r w:rsidRPr="0052255D" w:rsidR="00956399">
        <w:rPr>
          <w:rFonts w:ascii="Century Schoolbook" w:hAnsi="Century Schoolbook"/>
          <w:sz w:val="27"/>
        </w:rPr>
        <w:t xml:space="preserve"> as a direct perpetrator</w:t>
      </w:r>
      <w:r w:rsidRPr="0052255D" w:rsidR="00FE7B36">
        <w:rPr>
          <w:rFonts w:ascii="Century Schoolbook" w:hAnsi="Century Schoolbook"/>
          <w:sz w:val="27"/>
        </w:rPr>
        <w:t>.</w:t>
      </w:r>
    </w:p>
    <w:p w:rsidR="004D7CF0"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W</w:t>
      </w:r>
      <w:r w:rsidRPr="0052255D" w:rsidR="00334386">
        <w:rPr>
          <w:rFonts w:ascii="Century Schoolbook" w:hAnsi="Century Schoolbook"/>
          <w:sz w:val="27"/>
        </w:rPr>
        <w:t xml:space="preserve">e </w:t>
      </w:r>
      <w:r w:rsidRPr="0052255D" w:rsidR="009E40A7">
        <w:rPr>
          <w:rFonts w:ascii="Century Schoolbook" w:hAnsi="Century Schoolbook"/>
          <w:sz w:val="27"/>
        </w:rPr>
        <w:t xml:space="preserve">conclude that defendant </w:t>
      </w:r>
      <w:r w:rsidRPr="0052255D" w:rsidR="005A66E9">
        <w:rPr>
          <w:rFonts w:ascii="Century Schoolbook" w:hAnsi="Century Schoolbook"/>
          <w:sz w:val="27"/>
        </w:rPr>
        <w:t xml:space="preserve">has </w:t>
      </w:r>
      <w:r w:rsidRPr="0052255D" w:rsidR="009E40A7">
        <w:rPr>
          <w:rFonts w:ascii="Century Schoolbook" w:hAnsi="Century Schoolbook"/>
          <w:sz w:val="27"/>
        </w:rPr>
        <w:t xml:space="preserve">forfeited </w:t>
      </w:r>
      <w:r w:rsidRPr="0052255D" w:rsidR="00013FE1">
        <w:rPr>
          <w:rFonts w:ascii="Century Schoolbook" w:hAnsi="Century Schoolbook"/>
          <w:sz w:val="27"/>
        </w:rPr>
        <w:t>his</w:t>
      </w:r>
      <w:r w:rsidRPr="0052255D" w:rsidR="009E40A7">
        <w:rPr>
          <w:rFonts w:ascii="Century Schoolbook" w:hAnsi="Century Schoolbook"/>
          <w:sz w:val="27"/>
        </w:rPr>
        <w:t xml:space="preserve"> claim </w:t>
      </w:r>
      <w:r w:rsidRPr="0052255D" w:rsidR="00013FE1">
        <w:rPr>
          <w:rFonts w:ascii="Century Schoolbook" w:hAnsi="Century Schoolbook"/>
          <w:sz w:val="27"/>
        </w:rPr>
        <w:t xml:space="preserve">on appeal </w:t>
      </w:r>
      <w:r w:rsidRPr="0052255D" w:rsidR="009E40A7">
        <w:rPr>
          <w:rFonts w:ascii="Century Schoolbook" w:hAnsi="Century Schoolbook"/>
          <w:sz w:val="27"/>
        </w:rPr>
        <w:t xml:space="preserve">by failing to </w:t>
      </w:r>
      <w:r w:rsidRPr="0052255D" w:rsidR="00F12AD5">
        <w:rPr>
          <w:rFonts w:ascii="Century Schoolbook" w:hAnsi="Century Schoolbook"/>
          <w:sz w:val="27"/>
        </w:rPr>
        <w:t xml:space="preserve">object at trial to admission of other crimes evidence on the ground it did not </w:t>
      </w:r>
      <w:r w:rsidRPr="0052255D" w:rsidR="00877BD7">
        <w:rPr>
          <w:rFonts w:ascii="Century Schoolbook" w:hAnsi="Century Schoolbook"/>
          <w:sz w:val="27"/>
        </w:rPr>
        <w:t xml:space="preserve">meet </w:t>
      </w:r>
      <w:r w:rsidR="0052569A">
        <w:rPr>
          <w:rFonts w:ascii="Century Schoolbook" w:hAnsi="Century Schoolbook"/>
          <w:sz w:val="27"/>
        </w:rPr>
        <w:t xml:space="preserve">section 190.3, </w:t>
      </w:r>
      <w:r w:rsidRPr="0052255D" w:rsidR="00877BD7">
        <w:rPr>
          <w:rFonts w:ascii="Century Schoolbook" w:hAnsi="Century Schoolbook"/>
          <w:sz w:val="27"/>
        </w:rPr>
        <w:t>factor (b)’s criteria</w:t>
      </w:r>
      <w:r w:rsidRPr="0052255D" w:rsidR="009E40A7">
        <w:rPr>
          <w:rFonts w:ascii="Century Schoolbook" w:hAnsi="Century Schoolbook"/>
          <w:sz w:val="27"/>
        </w:rPr>
        <w:t xml:space="preserve">.  </w:t>
      </w:r>
      <w:r w:rsidRPr="0052255D" w:rsidR="00714230">
        <w:rPr>
          <w:rFonts w:ascii="Century Schoolbook" w:hAnsi="Century Schoolbook"/>
          <w:color w:val="auto"/>
          <w:sz w:val="27"/>
        </w:rPr>
        <w:t xml:space="preserve">(See, e.g., </w:t>
      </w:r>
      <w:r w:rsidRPr="0052255D" w:rsidR="00E24321">
        <w:rPr>
          <w:rFonts w:ascii="Century Schoolbook" w:hAnsi="Century Schoolbook"/>
          <w:i/>
          <w:iCs/>
          <w:color w:val="auto"/>
          <w:sz w:val="27"/>
        </w:rPr>
        <w:t>Delgado</w:t>
      </w:r>
      <w:r w:rsidRPr="0052255D" w:rsidR="002F7192">
        <w:rPr>
          <w:rFonts w:ascii="Century Schoolbook" w:hAnsi="Century Schoolbook"/>
          <w:color w:val="auto"/>
          <w:sz w:val="27"/>
        </w:rPr>
        <w:t xml:space="preserve">, </w:t>
      </w:r>
      <w:r w:rsidRPr="0052255D" w:rsidR="002F7192">
        <w:rPr>
          <w:rFonts w:ascii="Century Schoolbook" w:hAnsi="Century Schoolbook"/>
          <w:i/>
          <w:iCs/>
          <w:color w:val="auto"/>
          <w:sz w:val="27"/>
        </w:rPr>
        <w:t>supra</w:t>
      </w:r>
      <w:r w:rsidRPr="0052255D" w:rsidR="002F7192">
        <w:rPr>
          <w:rFonts w:ascii="Century Schoolbook" w:hAnsi="Century Schoolbook"/>
          <w:color w:val="auto"/>
          <w:sz w:val="27"/>
        </w:rPr>
        <w:t>,</w:t>
      </w:r>
      <w:r w:rsidRPr="0052255D" w:rsidR="00E24321">
        <w:rPr>
          <w:rFonts w:ascii="Century Schoolbook" w:hAnsi="Century Schoolbook"/>
          <w:i/>
          <w:iCs/>
          <w:color w:val="auto"/>
          <w:sz w:val="27"/>
        </w:rPr>
        <w:t xml:space="preserve"> </w:t>
      </w:r>
      <w:r w:rsidRPr="0052255D" w:rsidR="00E24321">
        <w:rPr>
          <w:rFonts w:ascii="Century Schoolbook" w:hAnsi="Century Schoolbook"/>
          <w:color w:val="auto"/>
          <w:sz w:val="27"/>
        </w:rPr>
        <w:t xml:space="preserve">2 Cal.5th </w:t>
      </w:r>
      <w:r w:rsidRPr="0052255D" w:rsidR="002F7192">
        <w:rPr>
          <w:rFonts w:ascii="Century Schoolbook" w:hAnsi="Century Schoolbook"/>
          <w:color w:val="auto"/>
          <w:sz w:val="27"/>
        </w:rPr>
        <w:t>at p.</w:t>
      </w:r>
      <w:r w:rsidRPr="0052255D" w:rsidR="00E24321">
        <w:rPr>
          <w:rFonts w:ascii="Century Schoolbook" w:hAnsi="Century Schoolbook"/>
          <w:color w:val="auto"/>
          <w:sz w:val="27"/>
        </w:rPr>
        <w:t xml:space="preserve"> </w:t>
      </w:r>
      <w:r w:rsidRPr="0052255D" w:rsidR="00FE7FA8">
        <w:rPr>
          <w:rFonts w:ascii="Century Schoolbook" w:hAnsi="Century Schoolbook"/>
          <w:color w:val="auto"/>
          <w:sz w:val="27"/>
        </w:rPr>
        <w:t xml:space="preserve">580; </w:t>
      </w:r>
      <w:r w:rsidRPr="0052255D" w:rsidR="002F7192">
        <w:rPr>
          <w:rFonts w:ascii="Century Schoolbook" w:hAnsi="Century Schoolbook"/>
          <w:i/>
          <w:iCs/>
          <w:color w:val="auto"/>
          <w:sz w:val="27"/>
        </w:rPr>
        <w:t>People v. Livingston</w:t>
      </w:r>
      <w:r w:rsidRPr="0052255D" w:rsidR="002F7192">
        <w:rPr>
          <w:rFonts w:ascii="Century Schoolbook" w:hAnsi="Century Schoolbook"/>
          <w:color w:val="auto"/>
          <w:sz w:val="27"/>
        </w:rPr>
        <w:t xml:space="preserve"> (2012) 53 Cal.4th 1145, 117</w:t>
      </w:r>
      <w:r w:rsidRPr="0052255D" w:rsidR="00590696">
        <w:rPr>
          <w:rFonts w:ascii="Century Schoolbook" w:hAnsi="Century Schoolbook"/>
          <w:color w:val="auto"/>
          <w:sz w:val="27"/>
        </w:rPr>
        <w:t>5</w:t>
      </w:r>
      <w:r w:rsidR="00F06695">
        <w:rPr>
          <w:rFonts w:ascii="Century Schoolbook" w:hAnsi="Century Schoolbook"/>
          <w:color w:val="auto"/>
          <w:sz w:val="27"/>
        </w:rPr>
        <w:t xml:space="preserve"> (</w:t>
      </w:r>
      <w:r w:rsidR="00F06695">
        <w:rPr>
          <w:rFonts w:ascii="Century Schoolbook" w:hAnsi="Century Schoolbook"/>
          <w:i/>
          <w:iCs/>
          <w:color w:val="auto"/>
          <w:sz w:val="27"/>
        </w:rPr>
        <w:t>Livingston</w:t>
      </w:r>
      <w:r w:rsidR="00F06695">
        <w:rPr>
          <w:rFonts w:ascii="Century Schoolbook" w:hAnsi="Century Schoolbook"/>
          <w:color w:val="auto"/>
          <w:sz w:val="27"/>
        </w:rPr>
        <w:t>)</w:t>
      </w:r>
      <w:r w:rsidRPr="0052255D" w:rsidR="002F7192">
        <w:rPr>
          <w:rFonts w:ascii="Century Schoolbook" w:hAnsi="Century Schoolbook"/>
          <w:color w:val="auto"/>
          <w:sz w:val="27"/>
        </w:rPr>
        <w:t xml:space="preserve">; </w:t>
      </w:r>
      <w:r w:rsidRPr="0052255D" w:rsidR="00286D8A">
        <w:rPr>
          <w:rFonts w:ascii="Century Schoolbook" w:hAnsi="Century Schoolbook"/>
          <w:i/>
          <w:iCs/>
          <w:color w:val="auto"/>
          <w:sz w:val="27"/>
        </w:rPr>
        <w:t xml:space="preserve">People v. Lewis and Oliver </w:t>
      </w:r>
      <w:r w:rsidRPr="0052255D" w:rsidR="00286D8A">
        <w:rPr>
          <w:rFonts w:ascii="Century Schoolbook" w:hAnsi="Century Schoolbook"/>
          <w:color w:val="auto"/>
          <w:sz w:val="27"/>
        </w:rPr>
        <w:t>(2006) 39 Cal.4th 970, 10</w:t>
      </w:r>
      <w:r w:rsidRPr="0052255D" w:rsidR="00BF58FE">
        <w:rPr>
          <w:rFonts w:ascii="Century Schoolbook" w:hAnsi="Century Schoolbook"/>
          <w:color w:val="auto"/>
          <w:sz w:val="27"/>
        </w:rPr>
        <w:t xml:space="preserve">52; </w:t>
      </w:r>
      <w:r w:rsidRPr="0052255D" w:rsidR="00714230">
        <w:rPr>
          <w:rFonts w:ascii="Century Schoolbook" w:hAnsi="Century Schoolbook"/>
          <w:i/>
          <w:iCs/>
          <w:color w:val="auto"/>
          <w:sz w:val="27"/>
        </w:rPr>
        <w:t xml:space="preserve">People v. Carpenter </w:t>
      </w:r>
      <w:r w:rsidRPr="0052255D" w:rsidR="00714230">
        <w:rPr>
          <w:rFonts w:ascii="Century Schoolbook" w:hAnsi="Century Schoolbook"/>
          <w:color w:val="auto"/>
          <w:sz w:val="27"/>
        </w:rPr>
        <w:t>(1999) 21 Cal.4th 1016, 10</w:t>
      </w:r>
      <w:r w:rsidRPr="0052255D" w:rsidR="00EA2910">
        <w:rPr>
          <w:rFonts w:ascii="Century Schoolbook" w:hAnsi="Century Schoolbook"/>
          <w:color w:val="auto"/>
          <w:sz w:val="27"/>
        </w:rPr>
        <w:t xml:space="preserve">59–1060.)  </w:t>
      </w:r>
      <w:r w:rsidRPr="0052255D" w:rsidR="00384B8D">
        <w:rPr>
          <w:rFonts w:ascii="Century Schoolbook" w:hAnsi="Century Schoolbook"/>
          <w:sz w:val="27"/>
        </w:rPr>
        <w:t xml:space="preserve">In </w:t>
      </w:r>
      <w:r w:rsidRPr="0052255D" w:rsidR="00574702">
        <w:rPr>
          <w:rFonts w:ascii="Century Schoolbook" w:hAnsi="Century Schoolbook"/>
          <w:i/>
          <w:iCs/>
          <w:color w:val="auto"/>
          <w:sz w:val="27"/>
        </w:rPr>
        <w:t>Livingston</w:t>
      </w:r>
      <w:r w:rsidRPr="0052255D" w:rsidR="00B864EC">
        <w:rPr>
          <w:rFonts w:ascii="Century Schoolbook" w:hAnsi="Century Schoolbook"/>
          <w:sz w:val="27"/>
        </w:rPr>
        <w:t xml:space="preserve">, </w:t>
      </w:r>
      <w:r w:rsidRPr="0052255D" w:rsidR="00C95C25">
        <w:rPr>
          <w:rFonts w:ascii="Century Schoolbook" w:hAnsi="Century Schoolbook"/>
          <w:sz w:val="27"/>
        </w:rPr>
        <w:t>the defendant contended</w:t>
      </w:r>
      <w:r w:rsidRPr="0052255D" w:rsidR="009E69C2">
        <w:rPr>
          <w:rFonts w:ascii="Century Schoolbook" w:hAnsi="Century Schoolbook"/>
          <w:sz w:val="27"/>
        </w:rPr>
        <w:t xml:space="preserve"> that </w:t>
      </w:r>
      <w:r w:rsidRPr="0052255D" w:rsidR="00157DBC">
        <w:rPr>
          <w:rFonts w:ascii="Century Schoolbook" w:hAnsi="Century Schoolbook"/>
          <w:sz w:val="27"/>
        </w:rPr>
        <w:t xml:space="preserve">certain evidence in aggravation should not have been admitted </w:t>
      </w:r>
      <w:r w:rsidRPr="0052255D" w:rsidR="00090189">
        <w:rPr>
          <w:rFonts w:ascii="Century Schoolbook" w:hAnsi="Century Schoolbook"/>
          <w:sz w:val="27"/>
        </w:rPr>
        <w:t xml:space="preserve">under section 190.3, factor (b) </w:t>
      </w:r>
      <w:r w:rsidRPr="0052255D" w:rsidR="00157DBC">
        <w:rPr>
          <w:rFonts w:ascii="Century Schoolbook" w:hAnsi="Century Schoolbook"/>
          <w:sz w:val="27"/>
        </w:rPr>
        <w:t xml:space="preserve">because </w:t>
      </w:r>
      <w:r w:rsidRPr="0052255D" w:rsidR="00090189">
        <w:rPr>
          <w:rFonts w:ascii="Century Schoolbook" w:hAnsi="Century Schoolbook"/>
          <w:sz w:val="27"/>
        </w:rPr>
        <w:t>the evidence</w:t>
      </w:r>
      <w:r w:rsidRPr="0052255D" w:rsidR="00157DBC">
        <w:rPr>
          <w:rFonts w:ascii="Century Schoolbook" w:hAnsi="Century Schoolbook"/>
          <w:sz w:val="27"/>
        </w:rPr>
        <w:t xml:space="preserve"> was insufficient for a jury to conclude that he was guilty of a crime involving violence.</w:t>
      </w:r>
      <w:r w:rsidRPr="0052255D" w:rsidR="00384B8D">
        <w:rPr>
          <w:rFonts w:ascii="Century Schoolbook" w:hAnsi="Century Schoolbook"/>
          <w:sz w:val="27"/>
        </w:rPr>
        <w:t xml:space="preserve"> </w:t>
      </w:r>
      <w:r w:rsidRPr="0052255D" w:rsidR="00157DBC">
        <w:rPr>
          <w:rFonts w:ascii="Century Schoolbook" w:hAnsi="Century Schoolbook"/>
          <w:sz w:val="27"/>
        </w:rPr>
        <w:t xml:space="preserve"> W</w:t>
      </w:r>
      <w:r w:rsidRPr="0052255D" w:rsidR="00384B8D">
        <w:rPr>
          <w:rFonts w:ascii="Century Schoolbook" w:hAnsi="Century Schoolbook"/>
          <w:sz w:val="27"/>
        </w:rPr>
        <w:t xml:space="preserve">e </w:t>
      </w:r>
      <w:r w:rsidRPr="0052255D" w:rsidR="00C056CC">
        <w:rPr>
          <w:rFonts w:ascii="Century Schoolbook" w:hAnsi="Century Schoolbook"/>
          <w:sz w:val="27"/>
        </w:rPr>
        <w:t xml:space="preserve">held that </w:t>
      </w:r>
      <w:r w:rsidRPr="0052255D" w:rsidR="00157DBC">
        <w:rPr>
          <w:rFonts w:ascii="Century Schoolbook" w:hAnsi="Century Schoolbook"/>
          <w:sz w:val="27"/>
        </w:rPr>
        <w:t>this</w:t>
      </w:r>
      <w:r w:rsidRPr="0052255D" w:rsidR="00C056CC">
        <w:rPr>
          <w:rFonts w:ascii="Century Schoolbook" w:hAnsi="Century Schoolbook"/>
          <w:sz w:val="27"/>
        </w:rPr>
        <w:t xml:space="preserve"> </w:t>
      </w:r>
      <w:r w:rsidRPr="0052255D" w:rsidR="005F0AF8">
        <w:rPr>
          <w:rFonts w:ascii="Century Schoolbook" w:hAnsi="Century Schoolbook"/>
          <w:sz w:val="27"/>
        </w:rPr>
        <w:t xml:space="preserve">argument </w:t>
      </w:r>
      <w:r w:rsidRPr="0052255D" w:rsidR="00157DBC">
        <w:rPr>
          <w:rFonts w:ascii="Century Schoolbook" w:hAnsi="Century Schoolbook"/>
          <w:sz w:val="27"/>
        </w:rPr>
        <w:t xml:space="preserve">was not cognizable on appeal </w:t>
      </w:r>
      <w:r w:rsidRPr="0052255D" w:rsidR="00E73037">
        <w:rPr>
          <w:rFonts w:ascii="Century Schoolbook" w:hAnsi="Century Schoolbook"/>
          <w:sz w:val="27"/>
        </w:rPr>
        <w:t xml:space="preserve">because </w:t>
      </w:r>
      <w:r w:rsidRPr="0052255D" w:rsidR="00157DBC">
        <w:rPr>
          <w:rFonts w:ascii="Century Schoolbook" w:hAnsi="Century Schoolbook"/>
          <w:sz w:val="27"/>
        </w:rPr>
        <w:t xml:space="preserve">defendant did not </w:t>
      </w:r>
      <w:r w:rsidRPr="0052255D" w:rsidR="00E73037">
        <w:rPr>
          <w:rFonts w:ascii="Century Schoolbook" w:hAnsi="Century Schoolbook"/>
          <w:sz w:val="27"/>
        </w:rPr>
        <w:t>object to the evidence on this basis at trial.</w:t>
      </w:r>
      <w:r w:rsidRPr="0052255D" w:rsidR="009E69C2">
        <w:rPr>
          <w:rFonts w:ascii="Century Schoolbook" w:hAnsi="Century Schoolbook"/>
          <w:sz w:val="27"/>
        </w:rPr>
        <w:t xml:space="preserve">  </w:t>
      </w:r>
      <w:r w:rsidRPr="0052255D" w:rsidR="009E69C2">
        <w:rPr>
          <w:rFonts w:ascii="Century Schoolbook" w:hAnsi="Century Schoolbook"/>
          <w:color w:val="auto"/>
          <w:sz w:val="27"/>
        </w:rPr>
        <w:t>(</w:t>
      </w:r>
      <w:r w:rsidRPr="0052255D" w:rsidR="00FE4868">
        <w:rPr>
          <w:rFonts w:ascii="Century Schoolbook" w:hAnsi="Century Schoolbook"/>
          <w:i/>
          <w:iCs/>
          <w:color w:val="auto"/>
          <w:sz w:val="27"/>
        </w:rPr>
        <w:t>Livingston</w:t>
      </w:r>
      <w:r w:rsidRPr="0052255D" w:rsidR="00FE4868">
        <w:rPr>
          <w:rFonts w:ascii="Century Schoolbook" w:hAnsi="Century Schoolbook"/>
          <w:color w:val="auto"/>
          <w:sz w:val="27"/>
        </w:rPr>
        <w:t>,</w:t>
      </w:r>
      <w:r w:rsidRPr="0052255D" w:rsidR="009E69C2">
        <w:rPr>
          <w:rFonts w:ascii="Century Schoolbook" w:hAnsi="Century Schoolbook"/>
          <w:color w:val="auto"/>
          <w:sz w:val="27"/>
        </w:rPr>
        <w:t xml:space="preserve"> at p.</w:t>
      </w:r>
      <w:r w:rsidR="00CE754F">
        <w:rPr>
          <w:rFonts w:ascii="Century Schoolbook" w:hAnsi="Century Schoolbook"/>
          <w:color w:val="auto"/>
          <w:sz w:val="27"/>
        </w:rPr>
        <w:t> </w:t>
      </w:r>
      <w:r w:rsidRPr="0052255D" w:rsidR="009E69C2">
        <w:rPr>
          <w:rFonts w:ascii="Century Schoolbook" w:hAnsi="Century Schoolbook"/>
          <w:color w:val="auto"/>
          <w:sz w:val="27"/>
        </w:rPr>
        <w:t>1175.)</w:t>
      </w:r>
      <w:r w:rsidRPr="0052255D" w:rsidR="00E71124">
        <w:rPr>
          <w:rFonts w:ascii="Century Schoolbook" w:hAnsi="Century Schoolbook"/>
          <w:color w:val="auto"/>
          <w:sz w:val="27"/>
        </w:rPr>
        <w:t xml:space="preserve">  </w:t>
      </w:r>
      <w:r w:rsidRPr="0052255D" w:rsidR="00170735">
        <w:rPr>
          <w:rFonts w:ascii="Century Schoolbook" w:hAnsi="Century Schoolbook"/>
          <w:sz w:val="27"/>
        </w:rPr>
        <w:t xml:space="preserve">This was so, we explained, </w:t>
      </w:r>
      <w:r w:rsidRPr="0052255D" w:rsidR="00E71124">
        <w:rPr>
          <w:rFonts w:ascii="Century Schoolbook" w:hAnsi="Century Schoolbook"/>
          <w:sz w:val="27"/>
        </w:rPr>
        <w:t xml:space="preserve">because the evidence was admitted at the penalty phase </w:t>
      </w:r>
      <w:r w:rsidRPr="0052255D" w:rsidR="00B2781B">
        <w:rPr>
          <w:rFonts w:ascii="Century Schoolbook" w:hAnsi="Century Schoolbook"/>
          <w:sz w:val="27"/>
        </w:rPr>
        <w:t>of a capital trial as aggravating evidence, not to support a conviction for that crime</w:t>
      </w:r>
      <w:r w:rsidRPr="0052255D" w:rsidR="00B2781B">
        <w:rPr>
          <w:rFonts w:ascii="Century Schoolbook" w:hAnsi="Century Schoolbook"/>
          <w:color w:val="auto"/>
          <w:sz w:val="27"/>
        </w:rPr>
        <w:t>.  (</w:t>
      </w:r>
      <w:r w:rsidRPr="0052255D" w:rsidR="00B2781B">
        <w:rPr>
          <w:rFonts w:ascii="Century Schoolbook" w:hAnsi="Century Schoolbook"/>
          <w:i/>
          <w:iCs/>
          <w:color w:val="auto"/>
          <w:sz w:val="27"/>
        </w:rPr>
        <w:t>Ibid.</w:t>
      </w:r>
      <w:r w:rsidRPr="0052255D" w:rsidR="00B2781B">
        <w:rPr>
          <w:rFonts w:ascii="Century Schoolbook" w:hAnsi="Century Schoolbook"/>
          <w:color w:val="auto"/>
          <w:sz w:val="27"/>
        </w:rPr>
        <w:t xml:space="preserve">)  </w:t>
      </w:r>
      <w:r w:rsidRPr="0052255D" w:rsidR="00170735">
        <w:rPr>
          <w:rFonts w:ascii="Century Schoolbook" w:hAnsi="Century Schoolbook"/>
          <w:sz w:val="27"/>
        </w:rPr>
        <w:t xml:space="preserve">“ ‘Even if defendant need do nothing at trial to preserve an appellate claim that evidence supporting his </w:t>
      </w:r>
      <w:r w:rsidRPr="0052255D" w:rsidR="00170735">
        <w:rPr>
          <w:rFonts w:ascii="Century Schoolbook" w:hAnsi="Century Schoolbook"/>
          <w:i/>
          <w:iCs/>
          <w:sz w:val="27"/>
        </w:rPr>
        <w:t>conviction</w:t>
      </w:r>
      <w:r w:rsidRPr="0052255D" w:rsidR="00170735">
        <w:rPr>
          <w:rFonts w:ascii="Century Schoolbook" w:hAnsi="Century Schoolbook"/>
          <w:sz w:val="27"/>
        </w:rPr>
        <w:t xml:space="preserve"> is legally insufficient, a different rule is appropriate for evidence presented at the penalty phase of a capital trial.  There the ultimate issue is the appropriate punishment for the capital crime, and evidence on that issue may </w:t>
      </w:r>
      <w:r w:rsidRPr="0052255D" w:rsidR="00170735">
        <w:rPr>
          <w:rFonts w:ascii="Century Schoolbook" w:hAnsi="Century Schoolbook"/>
          <w:i/>
          <w:iCs/>
          <w:sz w:val="27"/>
        </w:rPr>
        <w:t>include</w:t>
      </w:r>
      <w:r w:rsidRPr="0052255D" w:rsidR="00170735">
        <w:rPr>
          <w:rFonts w:ascii="Century Schoolbook" w:hAnsi="Century Schoolbook"/>
          <w:sz w:val="27"/>
        </w:rPr>
        <w:t xml:space="preserve"> one or more other discrete criminal incidents.  [Citation.]  If the accused thinks evidence on any such discrete crime is too insubstantial for jury consideration, he should be obliged in general terms to object, or to move to exclude or strike the evidence, on that ground.’ </w:t>
      </w:r>
      <w:r w:rsidRPr="0052255D" w:rsidR="00170735">
        <w:rPr>
          <w:rFonts w:ascii="Century Schoolbook" w:hAnsi="Century Schoolbook"/>
          <w:color w:val="auto"/>
          <w:sz w:val="27"/>
        </w:rPr>
        <w:t>”  (</w:t>
      </w:r>
      <w:r w:rsidRPr="0052255D" w:rsidR="00170735">
        <w:rPr>
          <w:rFonts w:ascii="Century Schoolbook" w:hAnsi="Century Schoolbook"/>
          <w:i/>
          <w:iCs/>
          <w:color w:val="auto"/>
          <w:sz w:val="27"/>
        </w:rPr>
        <w:t>Ibid.</w:t>
      </w:r>
      <w:r w:rsidRPr="0052255D" w:rsidR="00170735">
        <w:rPr>
          <w:rFonts w:ascii="Century Schoolbook" w:hAnsi="Century Schoolbook"/>
          <w:color w:val="auto"/>
          <w:sz w:val="27"/>
        </w:rPr>
        <w:t xml:space="preserve">)  </w:t>
      </w:r>
    </w:p>
    <w:p w:rsidR="0021231C"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color w:val="auto"/>
          <w:sz w:val="27"/>
        </w:rPr>
        <w:t xml:space="preserve">We recently reaffirmed this principle in </w:t>
      </w:r>
      <w:r w:rsidRPr="0052255D">
        <w:rPr>
          <w:rFonts w:ascii="Century Schoolbook" w:hAnsi="Century Schoolbook"/>
          <w:i/>
          <w:iCs/>
          <w:color w:val="auto"/>
          <w:sz w:val="27"/>
        </w:rPr>
        <w:t>Delgado</w:t>
      </w:r>
      <w:r w:rsidRPr="0052255D">
        <w:rPr>
          <w:rFonts w:ascii="Century Schoolbook" w:hAnsi="Century Schoolbook"/>
          <w:color w:val="auto"/>
          <w:sz w:val="27"/>
        </w:rPr>
        <w:t>, explaining that “because the penalty decision is normative and the prosecution need not prove that any given aggravating circumstance exists in order to o</w:t>
      </w:r>
      <w:r w:rsidRPr="0052255D" w:rsidR="00E20029">
        <w:rPr>
          <w:rFonts w:ascii="Century Schoolbook" w:hAnsi="Century Schoolbook"/>
          <w:color w:val="auto"/>
          <w:sz w:val="27"/>
        </w:rPr>
        <w:t>b</w:t>
      </w:r>
      <w:r w:rsidRPr="0052255D">
        <w:rPr>
          <w:rFonts w:ascii="Century Schoolbook" w:hAnsi="Century Schoolbook"/>
          <w:color w:val="auto"/>
          <w:sz w:val="27"/>
        </w:rPr>
        <w:t xml:space="preserve">tain a death judgment [citation], </w:t>
      </w:r>
      <w:r w:rsidRPr="0052255D" w:rsidR="00CE4152">
        <w:rPr>
          <w:rFonts w:ascii="Century Schoolbook" w:hAnsi="Century Schoolbook"/>
          <w:color w:val="auto"/>
          <w:sz w:val="27"/>
        </w:rPr>
        <w:t>[a] defendant may not challenge the verdict on the ground that the prosecut</w:t>
      </w:r>
      <w:r w:rsidR="00B74CD3">
        <w:rPr>
          <w:rFonts w:ascii="Century Schoolbook" w:hAnsi="Century Schoolbook"/>
          <w:color w:val="auto"/>
          <w:sz w:val="27"/>
        </w:rPr>
        <w:t>or</w:t>
      </w:r>
      <w:r w:rsidRPr="0052255D" w:rsidR="00CE4152">
        <w:rPr>
          <w:rFonts w:ascii="Century Schoolbook" w:hAnsi="Century Schoolbook"/>
          <w:color w:val="auto"/>
          <w:sz w:val="27"/>
        </w:rPr>
        <w:t xml:space="preserve"> failed to prove each of the elements of an uncharged offense beyond a reasonable doubt.  His claim of error lies in the erroneous </w:t>
      </w:r>
      <w:r w:rsidRPr="0052255D" w:rsidR="00CE4152">
        <w:rPr>
          <w:rFonts w:ascii="Century Schoolbook" w:hAnsi="Century Schoolbook"/>
          <w:i/>
          <w:iCs/>
          <w:color w:val="auto"/>
          <w:sz w:val="27"/>
        </w:rPr>
        <w:t>admission</w:t>
      </w:r>
      <w:r w:rsidRPr="0052255D" w:rsidR="00CE4152">
        <w:rPr>
          <w:rFonts w:ascii="Century Schoolbook" w:hAnsi="Century Schoolbook"/>
          <w:color w:val="auto"/>
          <w:sz w:val="27"/>
        </w:rPr>
        <w:t xml:space="preserve"> </w:t>
      </w:r>
      <w:r w:rsidRPr="0052255D" w:rsidR="00E20029">
        <w:rPr>
          <w:rFonts w:ascii="Century Schoolbook" w:hAnsi="Century Schoolbook"/>
          <w:color w:val="auto"/>
          <w:sz w:val="27"/>
        </w:rPr>
        <w:t>of such evidence; that claim must be preserved by a timely objection in the trial court.”  (</w:t>
      </w:r>
      <w:r w:rsidRPr="0052255D" w:rsidR="00E20029">
        <w:rPr>
          <w:rFonts w:ascii="Century Schoolbook" w:hAnsi="Century Schoolbook"/>
          <w:i/>
          <w:iCs/>
          <w:color w:val="auto"/>
          <w:sz w:val="27"/>
        </w:rPr>
        <w:t>Delgado</w:t>
      </w:r>
      <w:r w:rsidRPr="0052255D" w:rsidR="00E20029">
        <w:rPr>
          <w:rFonts w:ascii="Century Schoolbook" w:hAnsi="Century Schoolbook"/>
          <w:color w:val="auto"/>
          <w:sz w:val="27"/>
        </w:rPr>
        <w:t xml:space="preserve">, </w:t>
      </w:r>
      <w:r w:rsidRPr="0052255D" w:rsidR="00602A8C">
        <w:rPr>
          <w:rFonts w:ascii="Century Schoolbook" w:hAnsi="Century Schoolbook"/>
          <w:i/>
          <w:iCs/>
          <w:color w:val="auto"/>
          <w:sz w:val="27"/>
        </w:rPr>
        <w:t>supra</w:t>
      </w:r>
      <w:r w:rsidRPr="0052255D" w:rsidR="00602A8C">
        <w:rPr>
          <w:rFonts w:ascii="Century Schoolbook" w:hAnsi="Century Schoolbook"/>
          <w:color w:val="auto"/>
          <w:sz w:val="27"/>
        </w:rPr>
        <w:t xml:space="preserve">, </w:t>
      </w:r>
      <w:r w:rsidRPr="0052255D" w:rsidR="004B56E3">
        <w:rPr>
          <w:rFonts w:ascii="Century Schoolbook" w:hAnsi="Century Schoolbook"/>
          <w:color w:val="auto"/>
          <w:sz w:val="27"/>
        </w:rPr>
        <w:t xml:space="preserve">2 Cal.5th </w:t>
      </w:r>
      <w:r w:rsidRPr="0052255D" w:rsidR="00E20029">
        <w:rPr>
          <w:rFonts w:ascii="Century Schoolbook" w:hAnsi="Century Schoolbook"/>
          <w:color w:val="auto"/>
          <w:sz w:val="27"/>
        </w:rPr>
        <w:t>at p. 581.)</w:t>
      </w:r>
      <w:r w:rsidRPr="0052255D" w:rsidR="009F4E67">
        <w:rPr>
          <w:rFonts w:ascii="Century Schoolbook" w:hAnsi="Century Schoolbook"/>
          <w:color w:val="auto"/>
          <w:sz w:val="27"/>
        </w:rPr>
        <w:t xml:space="preserve"> </w:t>
      </w:r>
      <w:r w:rsidRPr="0052255D" w:rsidR="00B92A14">
        <w:rPr>
          <w:rFonts w:ascii="Century Schoolbook" w:hAnsi="Century Schoolbook"/>
          <w:color w:val="auto"/>
          <w:sz w:val="27"/>
        </w:rPr>
        <w:t xml:space="preserve"> </w:t>
      </w:r>
    </w:p>
    <w:p w:rsidR="00170735"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color w:val="auto"/>
          <w:sz w:val="27"/>
        </w:rPr>
        <w:t xml:space="preserve">Here, as in </w:t>
      </w:r>
      <w:r w:rsidRPr="0052255D">
        <w:rPr>
          <w:rFonts w:ascii="Century Schoolbook" w:hAnsi="Century Schoolbook"/>
          <w:i/>
          <w:iCs/>
          <w:color w:val="auto"/>
          <w:sz w:val="27"/>
        </w:rPr>
        <w:t xml:space="preserve">Livingston </w:t>
      </w:r>
      <w:r w:rsidRPr="0052255D">
        <w:rPr>
          <w:rFonts w:ascii="Century Schoolbook" w:hAnsi="Century Schoolbook"/>
          <w:color w:val="auto"/>
          <w:sz w:val="27"/>
        </w:rPr>
        <w:t xml:space="preserve">and </w:t>
      </w:r>
      <w:r w:rsidRPr="0052255D">
        <w:rPr>
          <w:rFonts w:ascii="Century Schoolbook" w:hAnsi="Century Schoolbook"/>
          <w:i/>
          <w:iCs/>
          <w:color w:val="auto"/>
          <w:sz w:val="27"/>
        </w:rPr>
        <w:t>Delgado</w:t>
      </w:r>
      <w:r w:rsidRPr="0052255D">
        <w:rPr>
          <w:rFonts w:ascii="Century Schoolbook" w:hAnsi="Century Schoolbook"/>
          <w:color w:val="auto"/>
          <w:sz w:val="27"/>
        </w:rPr>
        <w:t xml:space="preserve">, </w:t>
      </w:r>
      <w:r w:rsidRPr="0052255D" w:rsidR="0021231C">
        <w:rPr>
          <w:rFonts w:ascii="Century Schoolbook" w:hAnsi="Century Schoolbook"/>
          <w:color w:val="auto"/>
          <w:sz w:val="27"/>
        </w:rPr>
        <w:t>defendant’s challenge on appeal is directed to</w:t>
      </w:r>
      <w:r w:rsidRPr="0052255D" w:rsidR="009D14CB">
        <w:rPr>
          <w:rFonts w:ascii="Century Schoolbook" w:hAnsi="Century Schoolbook"/>
          <w:color w:val="auto"/>
          <w:sz w:val="27"/>
        </w:rPr>
        <w:t xml:space="preserve"> the sufficiency of evidence admitted </w:t>
      </w:r>
      <w:r w:rsidRPr="0052255D" w:rsidR="00C200A5">
        <w:rPr>
          <w:rFonts w:ascii="Century Schoolbook" w:hAnsi="Century Schoolbook"/>
          <w:color w:val="auto"/>
          <w:sz w:val="27"/>
        </w:rPr>
        <w:t>at the penalty phase</w:t>
      </w:r>
      <w:r w:rsidRPr="0052255D" w:rsidR="009D14CB">
        <w:rPr>
          <w:rFonts w:ascii="Century Schoolbook" w:hAnsi="Century Schoolbook"/>
          <w:color w:val="auto"/>
          <w:sz w:val="27"/>
        </w:rPr>
        <w:t xml:space="preserve"> of a capital trial as aggravating </w:t>
      </w:r>
      <w:r w:rsidRPr="0052255D" w:rsidR="0021231C">
        <w:rPr>
          <w:rFonts w:ascii="Century Schoolbook" w:hAnsi="Century Schoolbook"/>
          <w:color w:val="auto"/>
          <w:sz w:val="27"/>
        </w:rPr>
        <w:t>evidence.  (</w:t>
      </w:r>
      <w:r w:rsidRPr="0052255D" w:rsidR="0021231C">
        <w:rPr>
          <w:rFonts w:ascii="Century Schoolbook" w:hAnsi="Century Schoolbook"/>
          <w:i/>
          <w:iCs/>
          <w:color w:val="auto"/>
          <w:sz w:val="27"/>
        </w:rPr>
        <w:t>Livingston</w:t>
      </w:r>
      <w:r w:rsidRPr="0052255D" w:rsidR="0021231C">
        <w:rPr>
          <w:rFonts w:ascii="Century Schoolbook" w:hAnsi="Century Schoolbook"/>
          <w:color w:val="auto"/>
          <w:sz w:val="27"/>
        </w:rPr>
        <w:t xml:space="preserve">, </w:t>
      </w:r>
      <w:r w:rsidRPr="0052255D" w:rsidR="0021231C">
        <w:rPr>
          <w:rFonts w:ascii="Century Schoolbook" w:hAnsi="Century Schoolbook"/>
          <w:i/>
          <w:iCs/>
          <w:color w:val="auto"/>
          <w:sz w:val="27"/>
        </w:rPr>
        <w:t>supra</w:t>
      </w:r>
      <w:r w:rsidRPr="0052255D" w:rsidR="0021231C">
        <w:rPr>
          <w:rFonts w:ascii="Century Schoolbook" w:hAnsi="Century Schoolbook"/>
          <w:color w:val="auto"/>
          <w:sz w:val="27"/>
        </w:rPr>
        <w:t>, 53 Cal.4th at p. 1175</w:t>
      </w:r>
      <w:r w:rsidR="00FB2E14">
        <w:rPr>
          <w:rFonts w:ascii="Century Schoolbook" w:hAnsi="Century Schoolbook"/>
          <w:color w:val="auto"/>
          <w:sz w:val="27"/>
        </w:rPr>
        <w:t xml:space="preserve">; </w:t>
      </w:r>
      <w:r w:rsidRPr="0052255D" w:rsidR="00FB2E14">
        <w:rPr>
          <w:rFonts w:ascii="Century Schoolbook" w:hAnsi="Century Schoolbook"/>
          <w:i/>
          <w:iCs/>
          <w:color w:val="auto"/>
          <w:sz w:val="27"/>
        </w:rPr>
        <w:t>Delgado</w:t>
      </w:r>
      <w:r w:rsidRPr="0052255D" w:rsidR="00FB2E14">
        <w:rPr>
          <w:rFonts w:ascii="Century Schoolbook" w:hAnsi="Century Schoolbook"/>
          <w:color w:val="auto"/>
          <w:sz w:val="27"/>
        </w:rPr>
        <w:t xml:space="preserve">, </w:t>
      </w:r>
      <w:r w:rsidRPr="0052255D" w:rsidR="00FB2E14">
        <w:rPr>
          <w:rFonts w:ascii="Century Schoolbook" w:hAnsi="Century Schoolbook"/>
          <w:i/>
          <w:iCs/>
          <w:color w:val="auto"/>
          <w:sz w:val="27"/>
        </w:rPr>
        <w:t>supra</w:t>
      </w:r>
      <w:r w:rsidRPr="0052255D" w:rsidR="00FB2E14">
        <w:rPr>
          <w:rFonts w:ascii="Century Schoolbook" w:hAnsi="Century Schoolbook"/>
          <w:color w:val="auto"/>
          <w:sz w:val="27"/>
        </w:rPr>
        <w:t>, 2</w:t>
      </w:r>
      <w:r w:rsidR="00851754">
        <w:rPr>
          <w:rFonts w:ascii="Century Schoolbook" w:hAnsi="Century Schoolbook"/>
          <w:color w:val="auto"/>
          <w:sz w:val="27"/>
        </w:rPr>
        <w:t> </w:t>
      </w:r>
      <w:r w:rsidRPr="0052255D" w:rsidR="00FB2E14">
        <w:rPr>
          <w:rFonts w:ascii="Century Schoolbook" w:hAnsi="Century Schoolbook"/>
          <w:color w:val="auto"/>
          <w:sz w:val="27"/>
        </w:rPr>
        <w:t>Cal.5th at p. 581</w:t>
      </w:r>
      <w:r w:rsidRPr="0052255D" w:rsidR="0021231C">
        <w:rPr>
          <w:rFonts w:ascii="Century Schoolbook" w:hAnsi="Century Schoolbook"/>
          <w:color w:val="auto"/>
          <w:sz w:val="27"/>
        </w:rPr>
        <w:t xml:space="preserve">.) </w:t>
      </w:r>
      <w:r w:rsidRPr="0052255D" w:rsidR="0021231C">
        <w:rPr>
          <w:rFonts w:ascii="Century Schoolbook" w:hAnsi="Century Schoolbook"/>
          <w:i/>
          <w:iCs/>
          <w:color w:val="auto"/>
          <w:sz w:val="27"/>
        </w:rPr>
        <w:t xml:space="preserve"> </w:t>
      </w:r>
      <w:r w:rsidRPr="0052255D" w:rsidR="00BB5D96">
        <w:rPr>
          <w:rFonts w:ascii="Century Schoolbook" w:hAnsi="Century Schoolbook"/>
          <w:color w:val="auto"/>
          <w:sz w:val="27"/>
        </w:rPr>
        <w:t xml:space="preserve">Defendant </w:t>
      </w:r>
      <w:r w:rsidRPr="0052255D" w:rsidR="00D166BD">
        <w:rPr>
          <w:rFonts w:ascii="Century Schoolbook" w:hAnsi="Century Schoolbook"/>
          <w:color w:val="auto"/>
          <w:sz w:val="27"/>
        </w:rPr>
        <w:t>“ ‘should be obliged in general terms to object</w:t>
      </w:r>
      <w:r w:rsidR="00C57C8C">
        <w:rPr>
          <w:rFonts w:ascii="Century Schoolbook" w:hAnsi="Century Schoolbook"/>
          <w:color w:val="auto"/>
          <w:sz w:val="27"/>
        </w:rPr>
        <w:t>,</w:t>
      </w:r>
      <w:r w:rsidRPr="0052255D" w:rsidR="00D166BD">
        <w:rPr>
          <w:rFonts w:ascii="Century Schoolbook" w:hAnsi="Century Schoolbook"/>
          <w:color w:val="auto"/>
          <w:sz w:val="27"/>
        </w:rPr>
        <w:t xml:space="preserve"> or to move to exclude or strike the evidence, on that ground.’ ”</w:t>
      </w:r>
      <w:r w:rsidRPr="0052255D" w:rsidR="0021231C">
        <w:rPr>
          <w:rFonts w:ascii="Century Schoolbook" w:hAnsi="Century Schoolbook"/>
          <w:color w:val="auto"/>
          <w:sz w:val="27"/>
        </w:rPr>
        <w:t xml:space="preserve"> </w:t>
      </w:r>
      <w:r w:rsidRPr="0052255D" w:rsidR="00B536C5">
        <w:rPr>
          <w:rFonts w:ascii="Century Schoolbook" w:hAnsi="Century Schoolbook"/>
          <w:color w:val="auto"/>
          <w:sz w:val="27"/>
        </w:rPr>
        <w:t xml:space="preserve"> </w:t>
      </w:r>
      <w:r w:rsidRPr="0052255D" w:rsidR="00D166BD">
        <w:rPr>
          <w:rFonts w:ascii="Century Schoolbook" w:hAnsi="Century Schoolbook"/>
          <w:color w:val="auto"/>
          <w:sz w:val="27"/>
        </w:rPr>
        <w:t>(</w:t>
      </w:r>
      <w:r w:rsidR="00FB2E14">
        <w:rPr>
          <w:rFonts w:ascii="Century Schoolbook" w:hAnsi="Century Schoolbook"/>
          <w:i/>
          <w:iCs/>
          <w:color w:val="auto"/>
          <w:sz w:val="27"/>
        </w:rPr>
        <w:t>Livingston</w:t>
      </w:r>
      <w:r w:rsidR="00FB2E14">
        <w:rPr>
          <w:rFonts w:ascii="Century Schoolbook" w:hAnsi="Century Schoolbook"/>
          <w:color w:val="auto"/>
          <w:sz w:val="27"/>
        </w:rPr>
        <w:t>, at p. 1175.</w:t>
      </w:r>
      <w:r w:rsidRPr="0052255D" w:rsidR="00D166BD">
        <w:rPr>
          <w:rFonts w:ascii="Century Schoolbook" w:hAnsi="Century Schoolbook"/>
          <w:color w:val="auto"/>
          <w:sz w:val="27"/>
        </w:rPr>
        <w:t xml:space="preserve">) </w:t>
      </w:r>
      <w:r w:rsidRPr="0052255D" w:rsidR="00D166BD">
        <w:rPr>
          <w:rFonts w:ascii="Century Schoolbook" w:hAnsi="Century Schoolbook"/>
          <w:i/>
          <w:iCs/>
          <w:color w:val="auto"/>
          <w:sz w:val="27"/>
        </w:rPr>
        <w:t xml:space="preserve"> </w:t>
      </w:r>
      <w:r w:rsidRPr="0052255D" w:rsidR="00313F7C">
        <w:rPr>
          <w:rFonts w:ascii="Century Schoolbook" w:hAnsi="Century Schoolbook"/>
          <w:color w:val="auto"/>
          <w:sz w:val="27"/>
        </w:rPr>
        <w:t>D</w:t>
      </w:r>
      <w:r w:rsidRPr="0052255D" w:rsidR="00652CB5">
        <w:rPr>
          <w:rFonts w:ascii="Century Schoolbook" w:hAnsi="Century Schoolbook"/>
          <w:color w:val="auto"/>
          <w:sz w:val="27"/>
        </w:rPr>
        <w:t xml:space="preserve">efendant’s failure to raise </w:t>
      </w:r>
      <w:r w:rsidRPr="0052255D" w:rsidR="002E5975">
        <w:rPr>
          <w:rFonts w:ascii="Century Schoolbook" w:hAnsi="Century Schoolbook"/>
          <w:color w:val="auto"/>
          <w:sz w:val="27"/>
        </w:rPr>
        <w:t>such an</w:t>
      </w:r>
      <w:r w:rsidRPr="0052255D" w:rsidR="00652CB5">
        <w:rPr>
          <w:rFonts w:ascii="Century Schoolbook" w:hAnsi="Century Schoolbook"/>
          <w:color w:val="auto"/>
          <w:sz w:val="27"/>
        </w:rPr>
        <w:t xml:space="preserve"> objection at trial constitutes a forfeiture.</w:t>
      </w:r>
      <w:r w:rsidRPr="0052255D" w:rsidR="00B92A14">
        <w:rPr>
          <w:rFonts w:ascii="Century Schoolbook" w:hAnsi="Century Schoolbook"/>
          <w:color w:val="auto"/>
          <w:sz w:val="27"/>
        </w:rPr>
        <w:t xml:space="preserve"> </w:t>
      </w:r>
    </w:p>
    <w:p w:rsidR="00E6779F" w:rsidRPr="0052255D" w:rsidP="0052255D">
      <w:pPr>
        <w:pStyle w:val="Body"/>
        <w:tabs>
          <w:tab w:val="left" w:pos="1440"/>
        </w:tabs>
        <w:spacing w:after="100" w:line="400" w:lineRule="exact"/>
        <w:ind w:firstLine="720"/>
        <w:jc w:val="both"/>
        <w:rPr>
          <w:rFonts w:ascii="Century Schoolbook" w:hAnsi="Century Schoolbook"/>
          <w:color w:val="auto"/>
          <w:sz w:val="27"/>
        </w:rPr>
      </w:pPr>
      <w:r w:rsidRPr="0052255D">
        <w:rPr>
          <w:rFonts w:ascii="Century Schoolbook" w:hAnsi="Century Schoolbook"/>
          <w:sz w:val="27"/>
        </w:rPr>
        <w:t>Although defendant</w:t>
      </w:r>
      <w:r w:rsidRPr="0052255D" w:rsidR="00A70E6A">
        <w:rPr>
          <w:rFonts w:ascii="Century Schoolbook" w:hAnsi="Century Schoolbook"/>
          <w:sz w:val="27"/>
        </w:rPr>
        <w:t xml:space="preserve"> has forfeited his claim, </w:t>
      </w:r>
      <w:r w:rsidRPr="0052255D" w:rsidR="0012656D">
        <w:rPr>
          <w:rFonts w:ascii="Century Schoolbook" w:hAnsi="Century Schoolbook"/>
          <w:sz w:val="27"/>
        </w:rPr>
        <w:t>we also reject</w:t>
      </w:r>
      <w:r w:rsidRPr="0052255D" w:rsidR="00A70E6A">
        <w:rPr>
          <w:rFonts w:ascii="Century Schoolbook" w:hAnsi="Century Schoolbook"/>
          <w:sz w:val="27"/>
        </w:rPr>
        <w:t xml:space="preserve"> it on the merits.  </w:t>
      </w:r>
      <w:r w:rsidRPr="0052255D" w:rsidR="00B86B76">
        <w:rPr>
          <w:rFonts w:ascii="Century Schoolbook" w:hAnsi="Century Schoolbook"/>
          <w:sz w:val="27"/>
        </w:rPr>
        <w:t>“</w:t>
      </w:r>
      <w:r w:rsidRPr="0052255D" w:rsidR="00864629">
        <w:rPr>
          <w:rFonts w:ascii="Century Schoolbook" w:hAnsi="Century Schoolbook"/>
          <w:sz w:val="27"/>
        </w:rPr>
        <w:t xml:space="preserve">Although </w:t>
      </w:r>
      <w:r w:rsidRPr="0052255D" w:rsidR="00771065">
        <w:rPr>
          <w:rFonts w:ascii="Century Schoolbook" w:hAnsi="Century Schoolbook"/>
          <w:sz w:val="27"/>
        </w:rPr>
        <w:t>specific instruction on the elements of other crimes introduced in aggravation under section 190.3, factor (b) is generally not required</w:t>
      </w:r>
      <w:r w:rsidRPr="0052255D" w:rsidR="00AA12D4">
        <w:rPr>
          <w:rFonts w:ascii="Century Schoolbook" w:hAnsi="Century Schoolbook"/>
          <w:sz w:val="27"/>
        </w:rPr>
        <w:t xml:space="preserve">” </w:t>
      </w:r>
      <w:r w:rsidRPr="0052255D" w:rsidR="00AA12D4">
        <w:rPr>
          <w:rFonts w:ascii="Century Schoolbook" w:hAnsi="Century Schoolbook"/>
          <w:color w:val="auto"/>
          <w:sz w:val="27"/>
        </w:rPr>
        <w:t>(</w:t>
      </w:r>
      <w:r w:rsidRPr="0052255D" w:rsidR="00AA12D4">
        <w:rPr>
          <w:rFonts w:ascii="Century Schoolbook" w:hAnsi="Century Schoolbook"/>
          <w:i/>
          <w:iCs/>
          <w:color w:val="auto"/>
          <w:sz w:val="27"/>
        </w:rPr>
        <w:t xml:space="preserve">People v. Gutierrez </w:t>
      </w:r>
      <w:r w:rsidRPr="0052255D" w:rsidR="004A0B50">
        <w:rPr>
          <w:rFonts w:ascii="Century Schoolbook" w:hAnsi="Century Schoolbook"/>
          <w:color w:val="auto"/>
          <w:sz w:val="27"/>
        </w:rPr>
        <w:t xml:space="preserve">(2002) </w:t>
      </w:r>
      <w:r w:rsidRPr="0052255D" w:rsidR="00D61B06">
        <w:rPr>
          <w:rFonts w:ascii="Century Schoolbook" w:hAnsi="Century Schoolbook"/>
          <w:color w:val="auto"/>
          <w:sz w:val="27"/>
        </w:rPr>
        <w:t>28 Cal.4th 1083, 1154</w:t>
      </w:r>
      <w:r w:rsidRPr="0052255D" w:rsidR="00B86B76">
        <w:rPr>
          <w:rFonts w:ascii="Century Schoolbook" w:hAnsi="Century Schoolbook"/>
          <w:color w:val="auto"/>
          <w:sz w:val="27"/>
        </w:rPr>
        <w:t xml:space="preserve"> (</w:t>
      </w:r>
      <w:r w:rsidRPr="0052255D" w:rsidR="00B86B76">
        <w:rPr>
          <w:rFonts w:ascii="Century Schoolbook" w:hAnsi="Century Schoolbook"/>
          <w:i/>
          <w:iCs/>
          <w:color w:val="auto"/>
          <w:sz w:val="27"/>
        </w:rPr>
        <w:t>Gutierrez</w:t>
      </w:r>
      <w:r w:rsidRPr="0052255D" w:rsidR="00B86B76">
        <w:rPr>
          <w:rFonts w:ascii="Century Schoolbook" w:hAnsi="Century Schoolbook"/>
          <w:color w:val="auto"/>
          <w:sz w:val="27"/>
        </w:rPr>
        <w:t>)</w:t>
      </w:r>
      <w:r w:rsidRPr="0052255D" w:rsidR="00D61B06">
        <w:rPr>
          <w:rFonts w:ascii="Century Schoolbook" w:hAnsi="Century Schoolbook"/>
          <w:color w:val="auto"/>
          <w:sz w:val="27"/>
        </w:rPr>
        <w:t>)</w:t>
      </w:r>
      <w:r w:rsidRPr="0052255D" w:rsidR="00AA12D4">
        <w:rPr>
          <w:rFonts w:ascii="Century Schoolbook" w:hAnsi="Century Schoolbook"/>
          <w:color w:val="auto"/>
          <w:sz w:val="27"/>
        </w:rPr>
        <w:t xml:space="preserve">, </w:t>
      </w:r>
      <w:r w:rsidRPr="0052255D" w:rsidR="00B86B76">
        <w:rPr>
          <w:rFonts w:ascii="Century Schoolbook" w:hAnsi="Century Schoolbook"/>
          <w:sz w:val="27"/>
        </w:rPr>
        <w:t>“ ‘</w:t>
      </w:r>
      <w:r w:rsidRPr="0052255D" w:rsidR="00B56AF4">
        <w:rPr>
          <w:rFonts w:ascii="Century Schoolbook" w:hAnsi="Century Schoolbook"/>
          <w:sz w:val="27"/>
        </w:rPr>
        <w:t>when such instructions are given, they should be accurate and complete</w:t>
      </w:r>
      <w:r w:rsidRPr="0052255D" w:rsidR="00B86B76">
        <w:rPr>
          <w:rFonts w:ascii="Century Schoolbook" w:hAnsi="Century Schoolbook"/>
          <w:sz w:val="27"/>
        </w:rPr>
        <w:t>’ </w:t>
      </w:r>
      <w:r w:rsidRPr="0052255D" w:rsidR="00B56AF4">
        <w:rPr>
          <w:rFonts w:ascii="Century Schoolbook" w:hAnsi="Century Schoolbook"/>
          <w:sz w:val="27"/>
        </w:rPr>
        <w:t xml:space="preserve">” </w:t>
      </w:r>
      <w:r w:rsidRPr="0052255D" w:rsidR="007B6B75">
        <w:rPr>
          <w:rFonts w:ascii="Century Schoolbook" w:hAnsi="Century Schoolbook"/>
          <w:color w:val="auto"/>
          <w:sz w:val="27"/>
        </w:rPr>
        <w:t>(</w:t>
      </w:r>
      <w:r w:rsidRPr="0052255D" w:rsidR="007B6B75">
        <w:rPr>
          <w:rFonts w:ascii="Century Schoolbook" w:hAnsi="Century Schoolbook"/>
          <w:i/>
          <w:iCs/>
          <w:color w:val="auto"/>
          <w:sz w:val="27"/>
        </w:rPr>
        <w:t xml:space="preserve">People v. Prieto </w:t>
      </w:r>
      <w:r w:rsidRPr="0052255D" w:rsidR="007B6B75">
        <w:rPr>
          <w:rFonts w:ascii="Century Schoolbook" w:hAnsi="Century Schoolbook"/>
          <w:color w:val="auto"/>
          <w:sz w:val="27"/>
        </w:rPr>
        <w:t>(2003) 30 Cal.4th 226, 268</w:t>
      </w:r>
      <w:r w:rsidRPr="0052255D" w:rsidR="00B86B76">
        <w:rPr>
          <w:rFonts w:ascii="Century Schoolbook" w:hAnsi="Century Schoolbook"/>
          <w:color w:val="auto"/>
          <w:sz w:val="27"/>
        </w:rPr>
        <w:t xml:space="preserve"> (</w:t>
      </w:r>
      <w:r w:rsidRPr="0052255D" w:rsidR="00B86B76">
        <w:rPr>
          <w:rFonts w:ascii="Century Schoolbook" w:hAnsi="Century Schoolbook"/>
          <w:i/>
          <w:iCs/>
          <w:color w:val="auto"/>
          <w:sz w:val="27"/>
        </w:rPr>
        <w:t>Prieto</w:t>
      </w:r>
      <w:r w:rsidRPr="0052255D" w:rsidR="00B86B76">
        <w:rPr>
          <w:rFonts w:ascii="Century Schoolbook" w:hAnsi="Century Schoolbook"/>
          <w:color w:val="auto"/>
          <w:sz w:val="27"/>
        </w:rPr>
        <w:t>)</w:t>
      </w:r>
      <w:r w:rsidRPr="0052255D" w:rsidR="007B6B75">
        <w:rPr>
          <w:rFonts w:ascii="Century Schoolbook" w:hAnsi="Century Schoolbook"/>
          <w:color w:val="auto"/>
          <w:sz w:val="27"/>
        </w:rPr>
        <w:t xml:space="preserve">).  </w:t>
      </w:r>
      <w:r w:rsidRPr="0052255D" w:rsidR="00D14B39">
        <w:rPr>
          <w:rFonts w:ascii="Century Schoolbook" w:hAnsi="Century Schoolbook"/>
          <w:color w:val="auto"/>
          <w:sz w:val="27"/>
        </w:rPr>
        <w:t>W</w:t>
      </w:r>
      <w:r w:rsidRPr="0052255D" w:rsidR="003976AA">
        <w:rPr>
          <w:rFonts w:ascii="Century Schoolbook" w:hAnsi="Century Schoolbook"/>
          <w:sz w:val="27"/>
        </w:rPr>
        <w:t>e find the trial court’s failure to instruct the jury on aider and abettor liability as it related to the robbery of Kinsey was harmless beyond a reasonable doubt</w:t>
      </w:r>
      <w:r w:rsidRPr="0052255D" w:rsidR="003976AA">
        <w:rPr>
          <w:rFonts w:ascii="Century Schoolbook" w:hAnsi="Century Schoolbook"/>
          <w:color w:val="auto"/>
          <w:sz w:val="27"/>
        </w:rPr>
        <w:t xml:space="preserve"> because</w:t>
      </w:r>
      <w:r w:rsidRPr="0052255D" w:rsidR="00ED5621">
        <w:rPr>
          <w:rFonts w:ascii="Century Schoolbook" w:hAnsi="Century Schoolbook"/>
          <w:color w:val="auto"/>
          <w:sz w:val="27"/>
        </w:rPr>
        <w:t xml:space="preserve">, </w:t>
      </w:r>
      <w:r w:rsidRPr="0052255D" w:rsidR="003832AF">
        <w:rPr>
          <w:rFonts w:ascii="Century Schoolbook" w:hAnsi="Century Schoolbook"/>
          <w:color w:val="auto"/>
          <w:sz w:val="27"/>
        </w:rPr>
        <w:t>despite any misinstruction</w:t>
      </w:r>
      <w:r w:rsidRPr="0052255D" w:rsidR="00ED5621">
        <w:rPr>
          <w:rFonts w:ascii="Century Schoolbook" w:hAnsi="Century Schoolbook"/>
          <w:color w:val="auto"/>
          <w:sz w:val="27"/>
        </w:rPr>
        <w:t xml:space="preserve">, the evidence </w:t>
      </w:r>
      <w:r w:rsidRPr="0052255D" w:rsidR="00A4123D">
        <w:rPr>
          <w:rFonts w:ascii="Century Schoolbook" w:hAnsi="Century Schoolbook"/>
          <w:color w:val="auto"/>
          <w:sz w:val="27"/>
        </w:rPr>
        <w:t>overwhelmingly showed</w:t>
      </w:r>
      <w:r w:rsidRPr="0052255D" w:rsidR="00ED5621">
        <w:rPr>
          <w:rFonts w:ascii="Century Schoolbook" w:hAnsi="Century Schoolbook"/>
          <w:color w:val="auto"/>
          <w:sz w:val="27"/>
        </w:rPr>
        <w:t xml:space="preserve"> that defendant </w:t>
      </w:r>
      <w:r w:rsidRPr="0052255D" w:rsidR="00E928C3">
        <w:rPr>
          <w:rFonts w:ascii="Century Schoolbook" w:hAnsi="Century Schoolbook"/>
          <w:color w:val="auto"/>
          <w:sz w:val="27"/>
        </w:rPr>
        <w:t>committed an act involving the use or threat of use of force or violence</w:t>
      </w:r>
      <w:r w:rsidRPr="0052255D" w:rsidR="00963D1D">
        <w:rPr>
          <w:rFonts w:ascii="Century Schoolbook" w:hAnsi="Century Schoolbook"/>
          <w:color w:val="auto"/>
          <w:sz w:val="27"/>
        </w:rPr>
        <w:t xml:space="preserve"> under section 190.3, factor (b)</w:t>
      </w:r>
      <w:r w:rsidRPr="0052255D" w:rsidR="00E928C3">
        <w:rPr>
          <w:rFonts w:ascii="Century Schoolbook" w:hAnsi="Century Schoolbook"/>
          <w:color w:val="auto"/>
          <w:sz w:val="27"/>
        </w:rPr>
        <w:t>.</w:t>
      </w:r>
    </w:p>
    <w:p w:rsidR="00B2729D"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i/>
          <w:iCs/>
          <w:color w:val="auto"/>
          <w:sz w:val="27"/>
        </w:rPr>
        <w:t xml:space="preserve">Gutierrez </w:t>
      </w:r>
      <w:r w:rsidRPr="0052255D">
        <w:rPr>
          <w:rFonts w:ascii="Century Schoolbook" w:hAnsi="Century Schoolbook"/>
          <w:color w:val="auto"/>
          <w:sz w:val="27"/>
        </w:rPr>
        <w:t xml:space="preserve">and </w:t>
      </w:r>
      <w:r w:rsidRPr="0052255D">
        <w:rPr>
          <w:rFonts w:ascii="Century Schoolbook" w:hAnsi="Century Schoolbook"/>
          <w:i/>
          <w:iCs/>
          <w:color w:val="auto"/>
          <w:sz w:val="27"/>
        </w:rPr>
        <w:t>Prieto</w:t>
      </w:r>
      <w:r w:rsidRPr="0052255D" w:rsidR="00D171D7">
        <w:rPr>
          <w:rFonts w:ascii="Century Schoolbook" w:hAnsi="Century Schoolbook"/>
          <w:sz w:val="27"/>
        </w:rPr>
        <w:t xml:space="preserve"> are instructive</w:t>
      </w:r>
      <w:r w:rsidRPr="0052255D" w:rsidR="00D20A3F">
        <w:rPr>
          <w:rFonts w:ascii="Century Schoolbook" w:hAnsi="Century Schoolbook"/>
          <w:sz w:val="27"/>
        </w:rPr>
        <w:t xml:space="preserve"> in this respect</w:t>
      </w:r>
      <w:r w:rsidRPr="0052255D" w:rsidR="00D171D7">
        <w:rPr>
          <w:rFonts w:ascii="Century Schoolbook" w:hAnsi="Century Schoolbook"/>
          <w:sz w:val="27"/>
        </w:rPr>
        <w:t xml:space="preserve">.  </w:t>
      </w:r>
      <w:r w:rsidRPr="0052255D" w:rsidR="00D20A3F">
        <w:rPr>
          <w:rFonts w:ascii="Century Schoolbook" w:hAnsi="Century Schoolbook"/>
          <w:sz w:val="27"/>
        </w:rPr>
        <w:t xml:space="preserve">In </w:t>
      </w:r>
      <w:r w:rsidRPr="0052255D" w:rsidR="00D20A3F">
        <w:rPr>
          <w:rFonts w:ascii="Century Schoolbook" w:hAnsi="Century Schoolbook"/>
          <w:i/>
          <w:iCs/>
          <w:sz w:val="27"/>
        </w:rPr>
        <w:t>Gutierrez</w:t>
      </w:r>
      <w:r w:rsidRPr="0052255D" w:rsidR="00D20A3F">
        <w:rPr>
          <w:rFonts w:ascii="Century Schoolbook" w:hAnsi="Century Schoolbook"/>
          <w:sz w:val="27"/>
        </w:rPr>
        <w:t xml:space="preserve">, the prosecution sought to introduce as a crime in aggravation under section 190.3, factor (b), that defendant resisted, by the use of force or violence, an executive officer in the performance of </w:t>
      </w:r>
      <w:r w:rsidRPr="0052255D" w:rsidR="00670508">
        <w:rPr>
          <w:rFonts w:ascii="Century Schoolbook" w:hAnsi="Century Schoolbook"/>
          <w:sz w:val="27"/>
        </w:rPr>
        <w:t xml:space="preserve">that officer’s </w:t>
      </w:r>
      <w:r w:rsidRPr="0052255D" w:rsidR="00D20A3F">
        <w:rPr>
          <w:rFonts w:ascii="Century Schoolbook" w:hAnsi="Century Schoolbook"/>
          <w:sz w:val="27"/>
        </w:rPr>
        <w:t>duty in violation of section 69</w:t>
      </w:r>
      <w:r w:rsidRPr="0052255D" w:rsidR="00D20A3F">
        <w:rPr>
          <w:rFonts w:ascii="Century Schoolbook" w:hAnsi="Century Schoolbook"/>
          <w:color w:val="auto"/>
          <w:sz w:val="27"/>
        </w:rPr>
        <w:t>.  (</w:t>
      </w:r>
      <w:r w:rsidRPr="0052255D" w:rsidR="00D20A3F">
        <w:rPr>
          <w:rFonts w:ascii="Century Schoolbook" w:hAnsi="Century Schoolbook"/>
          <w:i/>
          <w:iCs/>
          <w:color w:val="auto"/>
          <w:sz w:val="27"/>
        </w:rPr>
        <w:t>Gutierrez</w:t>
      </w:r>
      <w:r w:rsidRPr="0052255D" w:rsidR="00D20A3F">
        <w:rPr>
          <w:rFonts w:ascii="Century Schoolbook" w:hAnsi="Century Schoolbook"/>
          <w:color w:val="auto"/>
          <w:sz w:val="27"/>
        </w:rPr>
        <w:t xml:space="preserve">, </w:t>
      </w:r>
      <w:r w:rsidRPr="0052255D" w:rsidR="00D20A3F">
        <w:rPr>
          <w:rFonts w:ascii="Century Schoolbook" w:hAnsi="Century Schoolbook"/>
          <w:i/>
          <w:iCs/>
          <w:color w:val="auto"/>
          <w:sz w:val="27"/>
        </w:rPr>
        <w:t>supra</w:t>
      </w:r>
      <w:r w:rsidRPr="0052255D" w:rsidR="00D20A3F">
        <w:rPr>
          <w:rFonts w:ascii="Century Schoolbook" w:hAnsi="Century Schoolbook"/>
          <w:color w:val="auto"/>
          <w:sz w:val="27"/>
        </w:rPr>
        <w:t>, 28 Cal.4th at pp. 1153–1154.)  Although a violation of section 69 requires a specific intent to interfere with the executive officer’s performance of dut</w:t>
      </w:r>
      <w:r w:rsidRPr="0052255D" w:rsidR="00D50772">
        <w:rPr>
          <w:rFonts w:ascii="Century Schoolbook" w:hAnsi="Century Schoolbook"/>
          <w:color w:val="auto"/>
          <w:sz w:val="27"/>
        </w:rPr>
        <w:t>y</w:t>
      </w:r>
      <w:r w:rsidRPr="0052255D" w:rsidR="00D20A3F">
        <w:rPr>
          <w:rFonts w:ascii="Century Schoolbook" w:hAnsi="Century Schoolbook"/>
          <w:color w:val="auto"/>
          <w:sz w:val="27"/>
        </w:rPr>
        <w:t xml:space="preserve">, the trial court provided an instruction </w:t>
      </w:r>
      <w:r w:rsidRPr="0052255D" w:rsidR="00607CA5">
        <w:rPr>
          <w:rFonts w:ascii="Century Schoolbook" w:hAnsi="Century Schoolbook"/>
          <w:color w:val="auto"/>
          <w:sz w:val="27"/>
        </w:rPr>
        <w:t>o</w:t>
      </w:r>
      <w:r w:rsidRPr="0052255D" w:rsidR="00D20A3F">
        <w:rPr>
          <w:rFonts w:ascii="Century Schoolbook" w:hAnsi="Century Schoolbook"/>
          <w:color w:val="auto"/>
          <w:sz w:val="27"/>
        </w:rPr>
        <w:t>n general criminal intent.  (</w:t>
      </w:r>
      <w:r w:rsidRPr="0052255D" w:rsidR="00D20A3F">
        <w:rPr>
          <w:rFonts w:ascii="Century Schoolbook" w:hAnsi="Century Schoolbook"/>
          <w:i/>
          <w:iCs/>
          <w:color w:val="auto"/>
          <w:sz w:val="27"/>
        </w:rPr>
        <w:t>Gutierrez</w:t>
      </w:r>
      <w:r w:rsidRPr="0052255D" w:rsidR="00D20A3F">
        <w:rPr>
          <w:rFonts w:ascii="Century Schoolbook" w:hAnsi="Century Schoolbook"/>
          <w:color w:val="auto"/>
          <w:sz w:val="27"/>
        </w:rPr>
        <w:t>, at p. 1154.)  Nevertheless, we found the error was “clearly harmless beyond a reasonable doubt” because “[t]here was evidence that defendant harbored the requisite specific intent.”  (</w:t>
      </w:r>
      <w:r w:rsidRPr="0052255D" w:rsidR="00D20A3F">
        <w:rPr>
          <w:rFonts w:ascii="Century Schoolbook" w:hAnsi="Century Schoolbook"/>
          <w:i/>
          <w:iCs/>
          <w:color w:val="auto"/>
          <w:sz w:val="27"/>
        </w:rPr>
        <w:t>Ibid.</w:t>
      </w:r>
      <w:r w:rsidRPr="0052255D" w:rsidR="00D20A3F">
        <w:rPr>
          <w:rFonts w:ascii="Century Schoolbook" w:hAnsi="Century Schoolbook"/>
          <w:color w:val="auto"/>
          <w:sz w:val="27"/>
        </w:rPr>
        <w:t xml:space="preserve">)  </w:t>
      </w:r>
      <w:r w:rsidRPr="0052255D" w:rsidR="00607CA5">
        <w:rPr>
          <w:rFonts w:ascii="Century Schoolbook" w:hAnsi="Century Schoolbook"/>
          <w:sz w:val="27"/>
        </w:rPr>
        <w:t>Similarly, i</w:t>
      </w:r>
      <w:r w:rsidRPr="0052255D" w:rsidR="00D20A3F">
        <w:rPr>
          <w:rFonts w:ascii="Century Schoolbook" w:hAnsi="Century Schoolbook"/>
          <w:color w:val="auto"/>
          <w:sz w:val="27"/>
        </w:rPr>
        <w:t xml:space="preserve">n </w:t>
      </w:r>
      <w:r w:rsidRPr="0052255D" w:rsidR="00D20A3F">
        <w:rPr>
          <w:rFonts w:ascii="Century Schoolbook" w:hAnsi="Century Schoolbook"/>
          <w:i/>
          <w:iCs/>
          <w:color w:val="auto"/>
          <w:sz w:val="27"/>
        </w:rPr>
        <w:t>Prieto</w:t>
      </w:r>
      <w:r w:rsidRPr="0052255D" w:rsidR="00D20A3F">
        <w:rPr>
          <w:rFonts w:ascii="Century Schoolbook" w:hAnsi="Century Schoolbook"/>
          <w:color w:val="auto"/>
          <w:sz w:val="27"/>
        </w:rPr>
        <w:t>, the prosecution alleged in aggravation that the defendant possessed deadly weapons while in jail in violation of section 4574.  (</w:t>
      </w:r>
      <w:r w:rsidRPr="0052255D" w:rsidR="00D20A3F">
        <w:rPr>
          <w:rFonts w:ascii="Century Schoolbook" w:hAnsi="Century Schoolbook"/>
          <w:i/>
          <w:iCs/>
          <w:color w:val="auto"/>
          <w:sz w:val="27"/>
        </w:rPr>
        <w:t>Prieto</w:t>
      </w:r>
      <w:r w:rsidRPr="0052255D" w:rsidR="00D20A3F">
        <w:rPr>
          <w:rFonts w:ascii="Century Schoolbook" w:hAnsi="Century Schoolbook"/>
          <w:color w:val="auto"/>
          <w:sz w:val="27"/>
        </w:rPr>
        <w:t xml:space="preserve">, </w:t>
      </w:r>
      <w:r w:rsidRPr="0052255D" w:rsidR="00D20A3F">
        <w:rPr>
          <w:rFonts w:ascii="Century Schoolbook" w:hAnsi="Century Schoolbook"/>
          <w:i/>
          <w:iCs/>
          <w:color w:val="auto"/>
          <w:sz w:val="27"/>
        </w:rPr>
        <w:t>supra</w:t>
      </w:r>
      <w:r w:rsidRPr="0052255D" w:rsidR="00D20A3F">
        <w:rPr>
          <w:rFonts w:ascii="Century Schoolbook" w:hAnsi="Century Schoolbook"/>
          <w:color w:val="auto"/>
          <w:sz w:val="27"/>
        </w:rPr>
        <w:t>, 30 Cal.4th at p. 269.)</w:t>
      </w:r>
      <w:r w:rsidRPr="0052255D" w:rsidR="00D20A3F">
        <w:rPr>
          <w:rFonts w:ascii="Century Schoolbook" w:hAnsi="Century Schoolbook"/>
          <w:i/>
          <w:iCs/>
          <w:color w:val="auto"/>
          <w:sz w:val="27"/>
        </w:rPr>
        <w:t xml:space="preserve">  </w:t>
      </w:r>
      <w:r w:rsidRPr="0052255D" w:rsidR="00D20A3F">
        <w:rPr>
          <w:rFonts w:ascii="Century Schoolbook" w:hAnsi="Century Schoolbook"/>
          <w:color w:val="auto"/>
          <w:sz w:val="27"/>
        </w:rPr>
        <w:t xml:space="preserve">The defendant </w:t>
      </w:r>
      <w:r w:rsidRPr="0052255D" w:rsidR="00BA1758">
        <w:rPr>
          <w:rFonts w:ascii="Century Schoolbook" w:hAnsi="Century Schoolbook"/>
          <w:color w:val="auto"/>
          <w:sz w:val="27"/>
        </w:rPr>
        <w:t xml:space="preserve">asserted </w:t>
      </w:r>
      <w:r w:rsidRPr="0052255D" w:rsidR="00D20A3F">
        <w:rPr>
          <w:rFonts w:ascii="Century Schoolbook" w:hAnsi="Century Schoolbook"/>
          <w:color w:val="auto"/>
          <w:sz w:val="27"/>
        </w:rPr>
        <w:t>the trial court’s instruction on section 4574 was deficient because it did not require the jury to find that he knew of the weapon’s presence and its nature as a deadly weapon.  (</w:t>
      </w:r>
      <w:r w:rsidRPr="0052255D" w:rsidR="00D20A3F">
        <w:rPr>
          <w:rFonts w:ascii="Century Schoolbook" w:hAnsi="Century Schoolbook"/>
          <w:i/>
          <w:iCs/>
          <w:color w:val="auto"/>
          <w:sz w:val="27"/>
        </w:rPr>
        <w:t>Ibid.</w:t>
      </w:r>
      <w:r w:rsidRPr="0052255D" w:rsidR="00D20A3F">
        <w:rPr>
          <w:rFonts w:ascii="Century Schoolbook" w:hAnsi="Century Schoolbook"/>
          <w:color w:val="auto"/>
          <w:sz w:val="27"/>
        </w:rPr>
        <w:t>)  The defendant admitted he possessed the weapons</w:t>
      </w:r>
      <w:r w:rsidR="00C57C8C">
        <w:rPr>
          <w:rFonts w:ascii="Century Schoolbook" w:hAnsi="Century Schoolbook"/>
          <w:color w:val="auto"/>
          <w:sz w:val="27"/>
        </w:rPr>
        <w:t> </w:t>
      </w:r>
      <w:r w:rsidRPr="0052255D" w:rsidR="00D20A3F">
        <w:rPr>
          <w:rFonts w:ascii="Century Schoolbook" w:hAnsi="Century Schoolbook"/>
          <w:color w:val="auto"/>
          <w:sz w:val="27"/>
        </w:rPr>
        <w:t>— two half-foot-long shanks with sharpened ends hidden under the defendant’s bunk</w:t>
      </w:r>
      <w:r w:rsidR="00C57C8C">
        <w:rPr>
          <w:rFonts w:ascii="Century Schoolbook" w:hAnsi="Century Schoolbook"/>
          <w:color w:val="auto"/>
          <w:sz w:val="27"/>
        </w:rPr>
        <w:t> </w:t>
      </w:r>
      <w:r w:rsidRPr="0052255D" w:rsidR="00D20A3F">
        <w:rPr>
          <w:rFonts w:ascii="Century Schoolbook" w:hAnsi="Century Schoolbook"/>
          <w:color w:val="auto"/>
          <w:sz w:val="27"/>
        </w:rPr>
        <w:t>— for protection, and offered no evidence suggesting that he did not know of the weapons’ presence in his cell and their nature as deadly weapons.  (</w:t>
      </w:r>
      <w:r w:rsidRPr="0052255D" w:rsidR="00D20A3F">
        <w:rPr>
          <w:rFonts w:ascii="Century Schoolbook" w:hAnsi="Century Schoolbook"/>
          <w:i/>
          <w:iCs/>
          <w:color w:val="auto"/>
          <w:sz w:val="27"/>
        </w:rPr>
        <w:t>Ibid.</w:t>
      </w:r>
      <w:r w:rsidRPr="0052255D" w:rsidR="00D20A3F">
        <w:rPr>
          <w:rFonts w:ascii="Century Schoolbook" w:hAnsi="Century Schoolbook"/>
          <w:color w:val="auto"/>
          <w:sz w:val="27"/>
        </w:rPr>
        <w:t>)  We held that any instructional error was harmless beyond a reasonable doubt.  (</w:t>
      </w:r>
      <w:r w:rsidRPr="0052255D" w:rsidR="00D20A3F">
        <w:rPr>
          <w:rFonts w:ascii="Century Schoolbook" w:hAnsi="Century Schoolbook"/>
          <w:i/>
          <w:iCs/>
          <w:color w:val="auto"/>
          <w:sz w:val="27"/>
        </w:rPr>
        <w:t>Ibid.</w:t>
      </w:r>
      <w:r w:rsidRPr="0052255D" w:rsidR="00D20A3F">
        <w:rPr>
          <w:rFonts w:ascii="Century Schoolbook" w:hAnsi="Century Schoolbook"/>
          <w:color w:val="auto"/>
          <w:sz w:val="27"/>
        </w:rPr>
        <w:t>)</w:t>
      </w:r>
    </w:p>
    <w:p w:rsidR="005572DC" w:rsidRPr="0052255D" w:rsidP="0052255D">
      <w:pPr>
        <w:pStyle w:val="Body"/>
        <w:tabs>
          <w:tab w:val="left" w:pos="1440"/>
        </w:tabs>
        <w:spacing w:after="100" w:line="400" w:lineRule="exact"/>
        <w:ind w:firstLine="720"/>
        <w:jc w:val="both"/>
        <w:rPr>
          <w:rFonts w:ascii="Century Schoolbook" w:hAnsi="Century Schoolbook"/>
          <w:sz w:val="27"/>
        </w:rPr>
      </w:pPr>
      <w:r w:rsidRPr="0052255D">
        <w:rPr>
          <w:rFonts w:ascii="Century Schoolbook" w:hAnsi="Century Schoolbook"/>
          <w:sz w:val="27"/>
        </w:rPr>
        <w:t>In</w:t>
      </w:r>
      <w:r w:rsidRPr="0052255D" w:rsidR="00E014F6">
        <w:rPr>
          <w:rFonts w:ascii="Century Schoolbook" w:hAnsi="Century Schoolbook"/>
          <w:sz w:val="27"/>
        </w:rPr>
        <w:t xml:space="preserve"> the present case, e</w:t>
      </w:r>
      <w:r w:rsidRPr="0052255D" w:rsidR="003832AF">
        <w:rPr>
          <w:rFonts w:ascii="Century Schoolbook" w:hAnsi="Century Schoolbook"/>
          <w:sz w:val="27"/>
        </w:rPr>
        <w:t xml:space="preserve">ven assuming a deficiency in the instructions, </w:t>
      </w:r>
      <w:r w:rsidRPr="0052255D" w:rsidR="00B84039">
        <w:rPr>
          <w:rFonts w:ascii="Century Schoolbook" w:hAnsi="Century Schoolbook"/>
          <w:sz w:val="27"/>
        </w:rPr>
        <w:t>the evidence pointed unerringly toward</w:t>
      </w:r>
      <w:r w:rsidRPr="0052255D" w:rsidR="002C1504">
        <w:rPr>
          <w:rFonts w:ascii="Century Schoolbook" w:hAnsi="Century Schoolbook"/>
          <w:color w:val="auto"/>
          <w:sz w:val="27"/>
        </w:rPr>
        <w:t xml:space="preserve"> </w:t>
      </w:r>
      <w:r w:rsidRPr="0052255D" w:rsidR="00B84039">
        <w:rPr>
          <w:rFonts w:ascii="Century Schoolbook" w:hAnsi="Century Schoolbook"/>
          <w:color w:val="auto"/>
          <w:sz w:val="27"/>
        </w:rPr>
        <w:t xml:space="preserve">defendant’s culpability </w:t>
      </w:r>
      <w:r w:rsidRPr="0052255D" w:rsidR="00752D45">
        <w:rPr>
          <w:rFonts w:ascii="Century Schoolbook" w:hAnsi="Century Schoolbook"/>
          <w:color w:val="auto"/>
          <w:sz w:val="27"/>
        </w:rPr>
        <w:t>in the commission of the robbery of Kinsey</w:t>
      </w:r>
      <w:r w:rsidRPr="0052255D" w:rsidR="00EA59AA">
        <w:rPr>
          <w:rFonts w:ascii="Century Schoolbook" w:hAnsi="Century Schoolbook"/>
          <w:color w:val="auto"/>
          <w:sz w:val="27"/>
        </w:rPr>
        <w:t xml:space="preserve"> as an aider and abettor</w:t>
      </w:r>
      <w:r w:rsidRPr="0052255D" w:rsidR="00752D45">
        <w:rPr>
          <w:rFonts w:ascii="Century Schoolbook" w:hAnsi="Century Schoolbook"/>
          <w:color w:val="auto"/>
          <w:sz w:val="27"/>
        </w:rPr>
        <w:t xml:space="preserve">.  </w:t>
      </w:r>
      <w:r w:rsidRPr="0052255D" w:rsidR="00752D45">
        <w:rPr>
          <w:rFonts w:ascii="Century Schoolbook" w:hAnsi="Century Schoolbook"/>
          <w:sz w:val="27"/>
        </w:rPr>
        <w:t xml:space="preserve">Defendant approached Kinsey with three other individuals, one of whom grabbed Kinsey’s briefcase and fled.  </w:t>
      </w:r>
      <w:r w:rsidRPr="0052255D" w:rsidR="005D1AED">
        <w:rPr>
          <w:rFonts w:ascii="Century Schoolbook" w:hAnsi="Century Schoolbook"/>
          <w:sz w:val="27"/>
        </w:rPr>
        <w:t>D</w:t>
      </w:r>
      <w:r w:rsidRPr="0052255D" w:rsidR="00752D45">
        <w:rPr>
          <w:rFonts w:ascii="Century Schoolbook" w:hAnsi="Century Schoolbook"/>
          <w:sz w:val="27"/>
        </w:rPr>
        <w:t xml:space="preserve">efendant pushed Kinsey, threatened to “fuck [Kinsey] up,” pulled back his fist </w:t>
      </w:r>
      <w:r w:rsidRPr="0052255D" w:rsidR="00FA351A">
        <w:rPr>
          <w:rFonts w:ascii="Century Schoolbook" w:hAnsi="Century Schoolbook"/>
          <w:sz w:val="27"/>
        </w:rPr>
        <w:t xml:space="preserve">as if </w:t>
      </w:r>
      <w:r w:rsidRPr="0052255D" w:rsidR="00752D45">
        <w:rPr>
          <w:rFonts w:ascii="Century Schoolbook" w:hAnsi="Century Schoolbook"/>
          <w:sz w:val="27"/>
        </w:rPr>
        <w:t xml:space="preserve">he was going to punch Kinsey, and demanded more money from him.  </w:t>
      </w:r>
      <w:r w:rsidRPr="0052255D" w:rsidR="002C1504">
        <w:rPr>
          <w:rFonts w:ascii="Century Schoolbook" w:hAnsi="Century Schoolbook"/>
          <w:sz w:val="27"/>
        </w:rPr>
        <w:t>Given th</w:t>
      </w:r>
      <w:r w:rsidRPr="0052255D" w:rsidR="00AE6DBE">
        <w:rPr>
          <w:rFonts w:ascii="Century Schoolbook" w:hAnsi="Century Schoolbook"/>
          <w:sz w:val="27"/>
        </w:rPr>
        <w:t xml:space="preserve">e overwhelming </w:t>
      </w:r>
      <w:r w:rsidRPr="0052255D" w:rsidR="002C1504">
        <w:rPr>
          <w:rFonts w:ascii="Century Schoolbook" w:hAnsi="Century Schoolbook"/>
          <w:sz w:val="27"/>
        </w:rPr>
        <w:t>evidence</w:t>
      </w:r>
      <w:r w:rsidRPr="0052255D" w:rsidR="00CE5971">
        <w:rPr>
          <w:rFonts w:ascii="Century Schoolbook" w:hAnsi="Century Schoolbook"/>
          <w:sz w:val="27"/>
        </w:rPr>
        <w:t xml:space="preserve">, </w:t>
      </w:r>
      <w:r w:rsidRPr="0052255D" w:rsidR="002C1504">
        <w:rPr>
          <w:rFonts w:ascii="Century Schoolbook" w:hAnsi="Century Schoolbook"/>
          <w:sz w:val="27"/>
        </w:rPr>
        <w:t xml:space="preserve">there is no reasonable </w:t>
      </w:r>
      <w:r w:rsidRPr="0052255D" w:rsidR="00B80D1C">
        <w:rPr>
          <w:rFonts w:ascii="Century Schoolbook" w:hAnsi="Century Schoolbook"/>
          <w:sz w:val="27"/>
        </w:rPr>
        <w:t>possibility</w:t>
      </w:r>
      <w:r w:rsidRPr="0052255D" w:rsidR="002C1504">
        <w:rPr>
          <w:rFonts w:ascii="Century Schoolbook" w:hAnsi="Century Schoolbook"/>
          <w:sz w:val="27"/>
        </w:rPr>
        <w:t xml:space="preserve"> </w:t>
      </w:r>
      <w:r w:rsidRPr="0052255D" w:rsidR="003A36F4">
        <w:rPr>
          <w:rFonts w:ascii="Century Schoolbook" w:hAnsi="Century Schoolbook"/>
          <w:sz w:val="27"/>
        </w:rPr>
        <w:t xml:space="preserve">that the </w:t>
      </w:r>
      <w:r w:rsidRPr="0052255D" w:rsidR="00A0750A">
        <w:rPr>
          <w:rFonts w:ascii="Century Schoolbook" w:hAnsi="Century Schoolbook"/>
          <w:sz w:val="27"/>
        </w:rPr>
        <w:t xml:space="preserve">trial court’s failure to </w:t>
      </w:r>
      <w:r w:rsidRPr="0052255D" w:rsidR="008C5A76">
        <w:rPr>
          <w:rFonts w:ascii="Century Schoolbook" w:hAnsi="Century Schoolbook"/>
          <w:sz w:val="27"/>
        </w:rPr>
        <w:t>instruct on aider and abettor liability</w:t>
      </w:r>
      <w:r w:rsidRPr="0052255D" w:rsidR="00A0750A">
        <w:rPr>
          <w:rFonts w:ascii="Century Schoolbook" w:hAnsi="Century Schoolbook"/>
          <w:sz w:val="27"/>
        </w:rPr>
        <w:t xml:space="preserve"> </w:t>
      </w:r>
      <w:r w:rsidRPr="0052255D" w:rsidR="00840568">
        <w:rPr>
          <w:rFonts w:ascii="Century Schoolbook" w:hAnsi="Century Schoolbook"/>
          <w:sz w:val="27"/>
        </w:rPr>
        <w:t xml:space="preserve">would have affected the jury’s </w:t>
      </w:r>
      <w:r w:rsidRPr="0052255D" w:rsidR="00D60601">
        <w:rPr>
          <w:rFonts w:ascii="Century Schoolbook" w:hAnsi="Century Schoolbook"/>
          <w:sz w:val="27"/>
        </w:rPr>
        <w:t xml:space="preserve">penalty </w:t>
      </w:r>
      <w:r w:rsidRPr="0052255D" w:rsidR="00840568">
        <w:rPr>
          <w:rFonts w:ascii="Century Schoolbook" w:hAnsi="Century Schoolbook"/>
          <w:sz w:val="27"/>
        </w:rPr>
        <w:t>deliberations</w:t>
      </w:r>
      <w:r w:rsidRPr="0052255D" w:rsidR="002C1504">
        <w:rPr>
          <w:rFonts w:ascii="Century Schoolbook" w:hAnsi="Century Schoolbook"/>
          <w:color w:val="auto"/>
          <w:sz w:val="27"/>
        </w:rPr>
        <w:t xml:space="preserve">.  </w:t>
      </w:r>
      <w:r w:rsidRPr="0052255D" w:rsidR="001553BE">
        <w:rPr>
          <w:rFonts w:ascii="Century Schoolbook" w:hAnsi="Century Schoolbook"/>
          <w:color w:val="auto"/>
          <w:sz w:val="27"/>
        </w:rPr>
        <w:t>D</w:t>
      </w:r>
      <w:r w:rsidRPr="0052255D" w:rsidR="00B252A6">
        <w:rPr>
          <w:rFonts w:ascii="Century Schoolbook" w:hAnsi="Century Schoolbook"/>
          <w:color w:val="auto"/>
          <w:sz w:val="27"/>
        </w:rPr>
        <w:t xml:space="preserve">efendant does not contend that </w:t>
      </w:r>
      <w:r w:rsidRPr="0052255D" w:rsidR="00BF5A10">
        <w:rPr>
          <w:rFonts w:ascii="Century Schoolbook" w:hAnsi="Century Schoolbook"/>
          <w:color w:val="auto"/>
          <w:sz w:val="27"/>
        </w:rPr>
        <w:t xml:space="preserve">the evidence </w:t>
      </w:r>
      <w:r w:rsidRPr="0052255D" w:rsidR="00580F39">
        <w:rPr>
          <w:rFonts w:ascii="Century Schoolbook" w:hAnsi="Century Schoolbook"/>
          <w:color w:val="auto"/>
          <w:sz w:val="27"/>
        </w:rPr>
        <w:t xml:space="preserve">would be </w:t>
      </w:r>
      <w:r w:rsidRPr="0052255D" w:rsidR="00BF5A10">
        <w:rPr>
          <w:rFonts w:ascii="Century Schoolbook" w:hAnsi="Century Schoolbook"/>
          <w:color w:val="auto"/>
          <w:sz w:val="27"/>
        </w:rPr>
        <w:t xml:space="preserve">insufficient to support a </w:t>
      </w:r>
      <w:r w:rsidRPr="0052255D" w:rsidR="00580F39">
        <w:rPr>
          <w:rFonts w:ascii="Century Schoolbook" w:hAnsi="Century Schoolbook"/>
          <w:color w:val="auto"/>
          <w:sz w:val="27"/>
        </w:rPr>
        <w:t xml:space="preserve">finding that </w:t>
      </w:r>
      <w:r w:rsidRPr="0052255D" w:rsidR="002C329B">
        <w:rPr>
          <w:rFonts w:ascii="Century Schoolbook" w:hAnsi="Century Schoolbook"/>
          <w:color w:val="auto"/>
          <w:sz w:val="27"/>
        </w:rPr>
        <w:t xml:space="preserve">he </w:t>
      </w:r>
      <w:r w:rsidRPr="0052255D" w:rsidR="00580F39">
        <w:rPr>
          <w:rFonts w:ascii="Century Schoolbook" w:hAnsi="Century Schoolbook"/>
          <w:color w:val="auto"/>
          <w:sz w:val="27"/>
        </w:rPr>
        <w:t>committed the robbery of Kinsey as an aider and abettor</w:t>
      </w:r>
      <w:r w:rsidRPr="0052255D" w:rsidR="001553BE">
        <w:rPr>
          <w:rFonts w:ascii="Century Schoolbook" w:hAnsi="Century Schoolbook"/>
          <w:color w:val="auto"/>
          <w:sz w:val="27"/>
        </w:rPr>
        <w:t xml:space="preserve">, </w:t>
      </w:r>
      <w:r w:rsidRPr="0052255D" w:rsidR="009D15D6">
        <w:rPr>
          <w:rFonts w:ascii="Century Schoolbook" w:hAnsi="Century Schoolbook"/>
          <w:color w:val="auto"/>
          <w:sz w:val="27"/>
        </w:rPr>
        <w:t>n</w:t>
      </w:r>
      <w:r w:rsidRPr="0052255D" w:rsidR="001553BE">
        <w:rPr>
          <w:rFonts w:ascii="Century Schoolbook" w:hAnsi="Century Schoolbook"/>
          <w:sz w:val="27"/>
        </w:rPr>
        <w:t xml:space="preserve">or </w:t>
      </w:r>
      <w:r w:rsidRPr="0052255D" w:rsidR="009D15D6">
        <w:rPr>
          <w:rFonts w:ascii="Century Schoolbook" w:hAnsi="Century Schoolbook"/>
          <w:sz w:val="27"/>
        </w:rPr>
        <w:t xml:space="preserve">does he </w:t>
      </w:r>
      <w:r w:rsidRPr="0052255D" w:rsidR="001553BE">
        <w:rPr>
          <w:rFonts w:ascii="Century Schoolbook" w:hAnsi="Century Schoolbook"/>
          <w:sz w:val="27"/>
        </w:rPr>
        <w:t>claim that the criminal activity did not involve the use of force or violence or the express threat to use violence</w:t>
      </w:r>
      <w:r w:rsidRPr="0052255D" w:rsidR="00580F39">
        <w:rPr>
          <w:rFonts w:ascii="Century Schoolbook" w:hAnsi="Century Schoolbook"/>
          <w:color w:val="auto"/>
          <w:sz w:val="27"/>
        </w:rPr>
        <w:t xml:space="preserve">.  </w:t>
      </w:r>
      <w:r w:rsidRPr="0052255D" w:rsidR="00895716">
        <w:rPr>
          <w:rFonts w:ascii="Century Schoolbook" w:hAnsi="Century Schoolbook"/>
          <w:color w:val="auto"/>
          <w:sz w:val="27"/>
        </w:rPr>
        <w:t>(</w:t>
      </w:r>
      <w:r w:rsidRPr="0052255D" w:rsidR="00DA3729">
        <w:rPr>
          <w:rFonts w:ascii="Century Schoolbook" w:hAnsi="Century Schoolbook"/>
          <w:color w:val="auto"/>
          <w:sz w:val="27"/>
        </w:rPr>
        <w:t xml:space="preserve">See </w:t>
      </w:r>
      <w:r w:rsidRPr="0052255D" w:rsidR="00895716">
        <w:rPr>
          <w:rFonts w:ascii="Century Schoolbook" w:hAnsi="Century Schoolbook"/>
          <w:i/>
          <w:iCs/>
          <w:color w:val="auto"/>
          <w:sz w:val="27"/>
        </w:rPr>
        <w:t>Cain</w:t>
      </w:r>
      <w:r w:rsidRPr="0052255D" w:rsidR="00242D53">
        <w:rPr>
          <w:rFonts w:ascii="Century Schoolbook" w:hAnsi="Century Schoolbook"/>
          <w:color w:val="auto"/>
          <w:sz w:val="27"/>
        </w:rPr>
        <w:t xml:space="preserve">, </w:t>
      </w:r>
      <w:r w:rsidRPr="0052255D" w:rsidR="00242D53">
        <w:rPr>
          <w:rFonts w:ascii="Century Schoolbook" w:hAnsi="Century Schoolbook"/>
          <w:i/>
          <w:iCs/>
          <w:color w:val="auto"/>
          <w:sz w:val="27"/>
        </w:rPr>
        <w:t>supra</w:t>
      </w:r>
      <w:r w:rsidRPr="0052255D" w:rsidR="00242D53">
        <w:rPr>
          <w:rFonts w:ascii="Century Schoolbook" w:hAnsi="Century Schoolbook"/>
          <w:color w:val="auto"/>
          <w:sz w:val="27"/>
        </w:rPr>
        <w:t>,</w:t>
      </w:r>
      <w:r w:rsidRPr="0052255D" w:rsidR="00895716">
        <w:rPr>
          <w:rFonts w:ascii="Century Schoolbook" w:hAnsi="Century Schoolbook"/>
          <w:color w:val="auto"/>
          <w:sz w:val="27"/>
        </w:rPr>
        <w:t xml:space="preserve"> 10</w:t>
      </w:r>
      <w:r w:rsidRPr="0052255D" w:rsidR="00B72B41">
        <w:rPr>
          <w:rFonts w:ascii="Century Schoolbook" w:hAnsi="Century Schoolbook"/>
          <w:color w:val="auto"/>
          <w:sz w:val="27"/>
        </w:rPr>
        <w:t> </w:t>
      </w:r>
      <w:r w:rsidRPr="0052255D" w:rsidR="00895716">
        <w:rPr>
          <w:rFonts w:ascii="Century Schoolbook" w:hAnsi="Century Schoolbook"/>
          <w:color w:val="auto"/>
          <w:sz w:val="27"/>
        </w:rPr>
        <w:t xml:space="preserve">Cal.4th </w:t>
      </w:r>
      <w:r w:rsidRPr="0052255D" w:rsidR="00242D53">
        <w:rPr>
          <w:rFonts w:ascii="Century Schoolbook" w:hAnsi="Century Schoolbook"/>
          <w:color w:val="auto"/>
          <w:sz w:val="27"/>
        </w:rPr>
        <w:t>at p.</w:t>
      </w:r>
      <w:r w:rsidRPr="0052255D" w:rsidR="00895716">
        <w:rPr>
          <w:rFonts w:ascii="Century Schoolbook" w:hAnsi="Century Schoolbook"/>
          <w:color w:val="auto"/>
          <w:sz w:val="27"/>
        </w:rPr>
        <w:t xml:space="preserve"> 73</w:t>
      </w:r>
      <w:r w:rsidRPr="0052255D" w:rsidR="00DA3729">
        <w:rPr>
          <w:rFonts w:ascii="Century Schoolbook" w:hAnsi="Century Schoolbook"/>
          <w:color w:val="auto"/>
          <w:sz w:val="27"/>
        </w:rPr>
        <w:t xml:space="preserve"> [proper focus for consideration of prior violent crimes in aggravation is on the facts of the defendant’s past actions as they reflect on his character</w:t>
      </w:r>
      <w:r w:rsidRPr="0052255D" w:rsidR="00F77D64">
        <w:rPr>
          <w:rFonts w:ascii="Century Schoolbook" w:hAnsi="Century Schoolbook"/>
          <w:color w:val="auto"/>
          <w:sz w:val="27"/>
        </w:rPr>
        <w:t xml:space="preserve">, not the labels assigned to the past crimes; </w:t>
      </w:r>
      <w:r w:rsidRPr="0052255D" w:rsidR="00242D53">
        <w:rPr>
          <w:rFonts w:ascii="Century Schoolbook" w:hAnsi="Century Schoolbook"/>
          <w:color w:val="auto"/>
          <w:sz w:val="27"/>
        </w:rPr>
        <w:t xml:space="preserve">accordingly, </w:t>
      </w:r>
      <w:r w:rsidRPr="0052255D" w:rsidR="00F77D64">
        <w:rPr>
          <w:rFonts w:ascii="Century Schoolbook" w:hAnsi="Century Schoolbook"/>
          <w:color w:val="auto"/>
          <w:sz w:val="27"/>
        </w:rPr>
        <w:t xml:space="preserve">the instructions were not essential to the jury’s consideration of </w:t>
      </w:r>
      <w:r w:rsidRPr="0052255D" w:rsidR="0009575B">
        <w:rPr>
          <w:rFonts w:ascii="Century Schoolbook" w:hAnsi="Century Schoolbook"/>
          <w:color w:val="auto"/>
          <w:sz w:val="27"/>
        </w:rPr>
        <w:t>crimes in aggravation under section 190.3, factor (b)</w:t>
      </w:r>
      <w:r w:rsidRPr="0052255D" w:rsidR="00F77D64">
        <w:rPr>
          <w:rFonts w:ascii="Century Schoolbook" w:hAnsi="Century Schoolbook"/>
          <w:color w:val="auto"/>
          <w:sz w:val="27"/>
        </w:rPr>
        <w:t>]</w:t>
      </w:r>
      <w:r w:rsidRPr="0052255D" w:rsidR="00895716">
        <w:rPr>
          <w:rFonts w:ascii="Century Schoolbook" w:hAnsi="Century Schoolbook"/>
          <w:color w:val="auto"/>
          <w:sz w:val="27"/>
        </w:rPr>
        <w:t xml:space="preserve">.)  </w:t>
      </w:r>
      <w:r w:rsidRPr="0052255D" w:rsidR="00DA3729">
        <w:rPr>
          <w:rFonts w:ascii="Century Schoolbook" w:hAnsi="Century Schoolbook"/>
          <w:color w:val="auto"/>
          <w:sz w:val="27"/>
        </w:rPr>
        <w:t>And t</w:t>
      </w:r>
      <w:r w:rsidRPr="0052255D">
        <w:rPr>
          <w:rFonts w:ascii="Century Schoolbook" w:hAnsi="Century Schoolbook"/>
          <w:color w:val="auto"/>
          <w:sz w:val="27"/>
        </w:rPr>
        <w:t xml:space="preserve">hat evidence notwithstanding, </w:t>
      </w:r>
      <w:r w:rsidRPr="0052255D" w:rsidR="008C4CDB">
        <w:rPr>
          <w:rFonts w:ascii="Century Schoolbook" w:hAnsi="Century Schoolbook"/>
          <w:color w:val="auto"/>
          <w:sz w:val="27"/>
        </w:rPr>
        <w:t>we</w:t>
      </w:r>
      <w:r w:rsidRPr="0052255D">
        <w:rPr>
          <w:rFonts w:ascii="Century Schoolbook" w:hAnsi="Century Schoolbook"/>
          <w:color w:val="auto"/>
          <w:sz w:val="27"/>
        </w:rPr>
        <w:t xml:space="preserve"> see no reasonable possibility that defendant would have obtained a more favorable outcome if the aider and abettor instruction had been given, in light of the great weight of the aggravating evidence against him.</w:t>
      </w:r>
    </w:p>
    <w:p w:rsidR="005E0CA1" w:rsidRPr="0052255D" w:rsidP="0052255D">
      <w:pPr>
        <w:pStyle w:val="Heading3"/>
        <w:rPr>
          <w:highlight w:val="yellow"/>
        </w:rPr>
      </w:pPr>
      <w:bookmarkStart w:id="34" w:name="_Toc94515353"/>
      <w:r w:rsidRPr="0052255D">
        <w:t>5</w:t>
      </w:r>
      <w:r w:rsidRPr="0052255D" w:rsidR="00E46F8E">
        <w:t xml:space="preserve">.  </w:t>
      </w:r>
      <w:r w:rsidRPr="0052255D" w:rsidR="001D71FC">
        <w:t xml:space="preserve">Challenges to California’s </w:t>
      </w:r>
      <w:r w:rsidRPr="0052255D">
        <w:t>d</w:t>
      </w:r>
      <w:r w:rsidRPr="0052255D" w:rsidR="001D71FC">
        <w:t xml:space="preserve">eath </w:t>
      </w:r>
      <w:r w:rsidRPr="0052255D">
        <w:t>p</w:t>
      </w:r>
      <w:r w:rsidRPr="0052255D" w:rsidR="001D71FC">
        <w:t xml:space="preserve">enalty </w:t>
      </w:r>
      <w:r w:rsidRPr="0052255D">
        <w:t>l</w:t>
      </w:r>
      <w:r w:rsidRPr="0052255D" w:rsidR="001D71FC">
        <w:t>aw</w:t>
      </w:r>
      <w:r w:rsidRPr="0052255D" w:rsidR="0020095D">
        <w:t xml:space="preserve"> </w:t>
      </w:r>
      <w:bookmarkEnd w:id="34"/>
    </w:p>
    <w:p w:rsidR="002F44A4" w:rsidRPr="0052255D" w:rsidP="0052255D">
      <w:pPr>
        <w:tabs>
          <w:tab w:val="left" w:pos="1440"/>
        </w:tabs>
        <w:ind w:firstLine="720"/>
      </w:pPr>
      <w:r w:rsidRPr="0052255D">
        <w:t>Defendant challenges the constitutionality of numerous features of California’s capital sentencing scheme.  We have repeatedly considered and rejected such challenges, and defendant offers no persuasive reason for us to reconsider the following conclusions:</w:t>
      </w:r>
    </w:p>
    <w:p w:rsidR="002F44A4" w:rsidRPr="0052255D" w:rsidP="0052255D">
      <w:pPr>
        <w:tabs>
          <w:tab w:val="left" w:pos="1440"/>
        </w:tabs>
        <w:ind w:firstLine="720"/>
      </w:pPr>
      <w:r w:rsidRPr="0052255D">
        <w:t>“Section 190.3, factor (a), under which the jury may consider the ‘circumstances of the crime’ as a factor in aggravation or mitigation of penalty, is not so broad as to make imposition of a death sentence arbitrary and capricious.”  (</w:t>
      </w:r>
      <w:r w:rsidRPr="0052255D">
        <w:rPr>
          <w:i/>
          <w:iCs/>
        </w:rPr>
        <w:t>People v. Souza</w:t>
      </w:r>
      <w:r w:rsidRPr="0052255D">
        <w:t xml:space="preserve"> (2012) 54 Cal.4th 90, 141–142</w:t>
      </w:r>
      <w:r w:rsidRPr="0052255D" w:rsidR="000563DF">
        <w:t xml:space="preserve">; </w:t>
      </w:r>
      <w:r w:rsidRPr="0052255D" w:rsidR="000563DF">
        <w:rPr>
          <w:i/>
          <w:szCs w:val="26"/>
        </w:rPr>
        <w:t xml:space="preserve">People v. Brown </w:t>
      </w:r>
      <w:r w:rsidRPr="0052255D" w:rsidR="000563DF">
        <w:rPr>
          <w:szCs w:val="26"/>
        </w:rPr>
        <w:t>(2004) 33</w:t>
      </w:r>
      <w:r w:rsidRPr="0052255D" w:rsidR="00E9019B">
        <w:rPr>
          <w:szCs w:val="26"/>
        </w:rPr>
        <w:t> </w:t>
      </w:r>
      <w:r w:rsidRPr="0052255D" w:rsidR="000563DF">
        <w:rPr>
          <w:szCs w:val="26"/>
        </w:rPr>
        <w:t>Cal.4th 382, 401</w:t>
      </w:r>
      <w:r w:rsidRPr="0052255D">
        <w:t xml:space="preserve">.) </w:t>
      </w:r>
    </w:p>
    <w:p w:rsidR="002F44A4" w:rsidRPr="0052255D" w:rsidP="0052255D">
      <w:pPr>
        <w:tabs>
          <w:tab w:val="left" w:pos="1440"/>
        </w:tabs>
        <w:ind w:firstLine="720"/>
      </w:pPr>
      <w:r w:rsidRPr="0052255D">
        <w:t>“The death penalty scheme is not unconstitutional for failing to require</w:t>
      </w:r>
      <w:r w:rsidRPr="0052255D" w:rsidR="0076691A">
        <w:t xml:space="preserve"> </w:t>
      </w:r>
      <w:r w:rsidRPr="0052255D">
        <w:t>. . .</w:t>
      </w:r>
      <w:r w:rsidRPr="0052255D" w:rsidR="0076691A">
        <w:t xml:space="preserve"> </w:t>
      </w:r>
      <w:r w:rsidRPr="0052255D">
        <w:t>findings beyond a reasonable doubt as to the existence of aggravating factors other than section 190.3, factors (b) and (c), that aggravating factors outweigh mitigating factors, or that death is the appropriate penalty.”  (</w:t>
      </w:r>
      <w:r w:rsidRPr="0052255D">
        <w:rPr>
          <w:i/>
          <w:iCs/>
        </w:rPr>
        <w:t xml:space="preserve">People v. Leon </w:t>
      </w:r>
      <w:r w:rsidRPr="0052255D">
        <w:t xml:space="preserve">(2020) 8 Cal.5th 831, 853.)  The United States Supreme Court’s decisions in </w:t>
      </w:r>
      <w:r w:rsidRPr="0052255D">
        <w:rPr>
          <w:i/>
          <w:iCs/>
        </w:rPr>
        <w:t>Cunningham v. California</w:t>
      </w:r>
      <w:r w:rsidRPr="0052255D">
        <w:t xml:space="preserve"> (2007) 549 U.S. 270, </w:t>
      </w:r>
      <w:r w:rsidRPr="0052255D">
        <w:rPr>
          <w:i/>
          <w:iCs/>
        </w:rPr>
        <w:t>Blakely v. Washington</w:t>
      </w:r>
      <w:r w:rsidRPr="0052255D" w:rsidR="008E6191">
        <w:t xml:space="preserve">, </w:t>
      </w:r>
      <w:r w:rsidRPr="0052255D" w:rsidR="008E6191">
        <w:rPr>
          <w:i/>
          <w:iCs/>
        </w:rPr>
        <w:t>supra</w:t>
      </w:r>
      <w:r w:rsidRPr="0052255D" w:rsidR="008E6191">
        <w:t>,</w:t>
      </w:r>
      <w:r w:rsidRPr="0052255D">
        <w:t xml:space="preserve"> 542</w:t>
      </w:r>
      <w:r w:rsidRPr="0052255D" w:rsidR="00E9019B">
        <w:t> </w:t>
      </w:r>
      <w:r w:rsidRPr="0052255D">
        <w:t xml:space="preserve">U.S. 296, </w:t>
      </w:r>
      <w:r w:rsidRPr="0052255D">
        <w:rPr>
          <w:i/>
          <w:iCs/>
        </w:rPr>
        <w:t>Ring v. Arizona</w:t>
      </w:r>
      <w:r w:rsidRPr="0052255D" w:rsidR="008E6191">
        <w:t xml:space="preserve">, </w:t>
      </w:r>
      <w:r w:rsidRPr="0052255D" w:rsidR="008E6191">
        <w:rPr>
          <w:i/>
          <w:iCs/>
        </w:rPr>
        <w:t>supra</w:t>
      </w:r>
      <w:r w:rsidRPr="0052255D" w:rsidR="008E6191">
        <w:t xml:space="preserve">, </w:t>
      </w:r>
      <w:r w:rsidRPr="0052255D">
        <w:t xml:space="preserve">536 U.S. 584, and </w:t>
      </w:r>
      <w:r w:rsidRPr="0052255D">
        <w:rPr>
          <w:i/>
          <w:iCs/>
        </w:rPr>
        <w:t>Apprendi v. New Jersey</w:t>
      </w:r>
      <w:r w:rsidRPr="0052255D" w:rsidR="008E6191">
        <w:t xml:space="preserve">, </w:t>
      </w:r>
      <w:r w:rsidRPr="0052255D" w:rsidR="008E6191">
        <w:rPr>
          <w:i/>
          <w:iCs/>
        </w:rPr>
        <w:t>supra</w:t>
      </w:r>
      <w:r w:rsidRPr="0052255D" w:rsidR="008E6191">
        <w:t xml:space="preserve">, </w:t>
      </w:r>
      <w:r w:rsidRPr="0052255D">
        <w:t>530 U.S. 466 do not alter these conclusions.  (</w:t>
      </w:r>
      <w:r w:rsidRPr="0052255D">
        <w:rPr>
          <w:i/>
          <w:iCs/>
        </w:rPr>
        <w:t>Bramit</w:t>
      </w:r>
      <w:r w:rsidRPr="0052255D" w:rsidR="00DC216D">
        <w:t xml:space="preserve">, </w:t>
      </w:r>
      <w:r w:rsidRPr="0052255D" w:rsidR="00DC216D">
        <w:rPr>
          <w:i/>
          <w:iCs/>
        </w:rPr>
        <w:t>supra</w:t>
      </w:r>
      <w:r w:rsidRPr="0052255D" w:rsidR="00DC216D">
        <w:t>,</w:t>
      </w:r>
      <w:r w:rsidRPr="0052255D">
        <w:rPr>
          <w:i/>
          <w:iCs/>
        </w:rPr>
        <w:t xml:space="preserve"> </w:t>
      </w:r>
      <w:r w:rsidRPr="0052255D">
        <w:t>46</w:t>
      </w:r>
      <w:r w:rsidRPr="0052255D" w:rsidR="00E9019B">
        <w:t> </w:t>
      </w:r>
      <w:r w:rsidRPr="0052255D">
        <w:t xml:space="preserve">Cal.4th </w:t>
      </w:r>
      <w:r w:rsidRPr="0052255D" w:rsidR="00DC216D">
        <w:t>at p.</w:t>
      </w:r>
      <w:r w:rsidRPr="0052255D">
        <w:t xml:space="preserve"> 1250 &amp; fn. 22.)</w:t>
      </w:r>
    </w:p>
    <w:p w:rsidR="002F44A4" w:rsidRPr="0052255D" w:rsidP="0052255D">
      <w:pPr>
        <w:tabs>
          <w:tab w:val="left" w:pos="1440"/>
        </w:tabs>
        <w:ind w:firstLine="720"/>
      </w:pPr>
      <w:r w:rsidRPr="0052255D">
        <w:t>“Because the decision whether to sentence a defendant to death is essentially a normative one, we have held the prosecution bears no burden of persuasion in the penalty phase.”  (</w:t>
      </w:r>
      <w:r w:rsidRPr="0052255D">
        <w:rPr>
          <w:i/>
          <w:iCs/>
        </w:rPr>
        <w:t>People v. Virgil</w:t>
      </w:r>
      <w:r w:rsidRPr="0052255D">
        <w:t xml:space="preserve"> (2011) 51 Cal.4th 1210, 1289.)  “Nor does the federal or state Constitution require an instruction explaining that there is no burden of proof in the penalty phase.”  (</w:t>
      </w:r>
      <w:r w:rsidRPr="0052255D">
        <w:rPr>
          <w:i/>
          <w:iCs/>
        </w:rPr>
        <w:t>Ibid.</w:t>
      </w:r>
      <w:r w:rsidRPr="0052255D">
        <w:t>)</w:t>
      </w:r>
    </w:p>
    <w:p w:rsidR="002F44A4" w:rsidRPr="0052255D" w:rsidP="0052255D">
      <w:pPr>
        <w:tabs>
          <w:tab w:val="left" w:pos="1440"/>
        </w:tabs>
        <w:ind w:firstLine="720"/>
      </w:pPr>
      <w:r w:rsidRPr="0052255D">
        <w:t>“The death penalty law is not unconstitutional because it does not require unanimous jury findings, beyond a reasonable doubt, that particular aggravating factors (other than prior criminality) exist.”  (</w:t>
      </w:r>
      <w:r w:rsidRPr="0052255D">
        <w:rPr>
          <w:i/>
          <w:iCs/>
        </w:rPr>
        <w:t>People v. Amezcua and Flores</w:t>
      </w:r>
      <w:r w:rsidRPr="0052255D">
        <w:t xml:space="preserve"> (2019) 6</w:t>
      </w:r>
      <w:r w:rsidR="00CE754F">
        <w:t> </w:t>
      </w:r>
      <w:r w:rsidRPr="0052255D">
        <w:t>Cal.5th 886, 928</w:t>
      </w:r>
      <w:r w:rsidRPr="0052255D" w:rsidR="00D02175">
        <w:t xml:space="preserve">; </w:t>
      </w:r>
      <w:r w:rsidRPr="0052255D" w:rsidR="00D02175">
        <w:rPr>
          <w:i/>
          <w:iCs/>
        </w:rPr>
        <w:t>People v. McDaniel</w:t>
      </w:r>
      <w:r w:rsidRPr="0052255D" w:rsidR="00D02175">
        <w:t xml:space="preserve"> (2021) 12 Cal.5th 97, 142–148</w:t>
      </w:r>
      <w:r w:rsidRPr="0052255D">
        <w:t xml:space="preserve">.)  </w:t>
      </w:r>
    </w:p>
    <w:p w:rsidR="002F44A4" w:rsidRPr="0052255D" w:rsidP="0052255D">
      <w:pPr>
        <w:tabs>
          <w:tab w:val="left" w:pos="1440"/>
        </w:tabs>
        <w:ind w:firstLine="720"/>
      </w:pPr>
      <w:r w:rsidRPr="0052255D">
        <w:t xml:space="preserve">“CALJIC No. 8.88 is not constitutionally flawed or impermissibly vague because (1) it uses the phrase ‘so substantial’ to compare aggravating factors with </w:t>
      </w:r>
      <w:r w:rsidR="006851B4">
        <w:t xml:space="preserve">the </w:t>
      </w:r>
      <w:r w:rsidRPr="0052255D">
        <w:t>mitigating factors [citations]; (2) it uses the term ‘warrants’ instead of appropriate’ [citations]; (3) it fails to instruct the jury that a life sentence is mandatory if the aggravating factors do not outweigh the mitigating factors [citations]; [and] (4) it fails to instruct that a verdict of life in prison could be returned even if the circumstances in aggravation outweighed those in mitigation.”  (</w:t>
      </w:r>
      <w:r w:rsidRPr="0052255D">
        <w:rPr>
          <w:i/>
          <w:iCs/>
        </w:rPr>
        <w:t>People v. Rogers</w:t>
      </w:r>
      <w:r w:rsidRPr="0052255D">
        <w:t xml:space="preserve"> (2009) 46 Cal.4th 1136, 1179.)</w:t>
      </w:r>
    </w:p>
    <w:p w:rsidR="002F44A4" w:rsidRPr="0052255D" w:rsidP="0052255D">
      <w:pPr>
        <w:tabs>
          <w:tab w:val="left" w:pos="1440"/>
        </w:tabs>
        <w:ind w:firstLine="720"/>
      </w:pPr>
      <w:r w:rsidRPr="0052255D">
        <w:t>“[T]he death penalty law is constitutional though it . . . does not require that the jury be instructed on the presumption of life.”  (</w:t>
      </w:r>
      <w:r w:rsidRPr="0052255D">
        <w:rPr>
          <w:i/>
          <w:iCs/>
        </w:rPr>
        <w:t>People v. Jones</w:t>
      </w:r>
      <w:r w:rsidRPr="0052255D">
        <w:t xml:space="preserve"> (2003) 29</w:t>
      </w:r>
      <w:r w:rsidRPr="0052255D" w:rsidR="00E9019B">
        <w:t> </w:t>
      </w:r>
      <w:r w:rsidRPr="0052255D">
        <w:t>Cal.4th 1229, 1267</w:t>
      </w:r>
      <w:r w:rsidR="00C95490">
        <w:t>, italics omitted</w:t>
      </w:r>
      <w:r w:rsidRPr="0052255D">
        <w:t>.)</w:t>
      </w:r>
    </w:p>
    <w:p w:rsidR="002F44A4" w:rsidRPr="0052255D" w:rsidP="0052255D">
      <w:pPr>
        <w:tabs>
          <w:tab w:val="left" w:pos="1440"/>
        </w:tabs>
        <w:ind w:firstLine="720"/>
      </w:pPr>
      <w:r w:rsidRPr="0052255D">
        <w:t>“The trial court has no obligation to delete from CALJIC No. 8.85 inapplicable mitigating [or aggravating] factors.”  (</w:t>
      </w:r>
      <w:r w:rsidRPr="0052255D">
        <w:rPr>
          <w:i/>
          <w:iCs/>
        </w:rPr>
        <w:t>People v. Cook</w:t>
      </w:r>
      <w:r w:rsidRPr="0052255D">
        <w:t xml:space="preserve"> (2006) 39</w:t>
      </w:r>
      <w:r w:rsidRPr="0052255D" w:rsidR="00E9019B">
        <w:t> </w:t>
      </w:r>
      <w:r w:rsidRPr="0052255D">
        <w:t>Cal.4th 566, 618.)</w:t>
      </w:r>
    </w:p>
    <w:p w:rsidR="00104060" w:rsidRPr="0052255D" w:rsidP="0052255D">
      <w:pPr>
        <w:tabs>
          <w:tab w:val="left" w:pos="1440"/>
        </w:tabs>
        <w:ind w:firstLine="720"/>
      </w:pPr>
      <w:r w:rsidRPr="0052255D">
        <w:t>“</w:t>
      </w:r>
      <w:r w:rsidRPr="0052255D" w:rsidR="003801EF">
        <w:t>[T]here is no Eighth Amendment requirement that our death penalty procedures provide for intercase proportionality review</w:t>
      </w:r>
      <w:r w:rsidRPr="0052255D">
        <w:t>.”  (</w:t>
      </w:r>
      <w:r w:rsidRPr="0052255D" w:rsidR="003801EF">
        <w:rPr>
          <w:i/>
          <w:iCs/>
        </w:rPr>
        <w:t xml:space="preserve">People v. Navarro </w:t>
      </w:r>
      <w:r w:rsidRPr="0052255D" w:rsidR="003801EF">
        <w:t xml:space="preserve">(2021) </w:t>
      </w:r>
      <w:r w:rsidRPr="0052255D" w:rsidR="002F5A9A">
        <w:t>12</w:t>
      </w:r>
      <w:r w:rsidRPr="0052255D" w:rsidR="003801EF">
        <w:t xml:space="preserve"> Cal.5th </w:t>
      </w:r>
      <w:r w:rsidRPr="0052255D" w:rsidR="002F5A9A">
        <w:t>285</w:t>
      </w:r>
      <w:r w:rsidRPr="0052255D" w:rsidR="003801EF">
        <w:t xml:space="preserve">, </w:t>
      </w:r>
      <w:r w:rsidRPr="0052255D" w:rsidR="002F5A9A">
        <w:t>346</w:t>
      </w:r>
      <w:r w:rsidRPr="0052255D" w:rsidR="003801EF">
        <w:t xml:space="preserve">; </w:t>
      </w:r>
      <w:r w:rsidRPr="0052255D">
        <w:rPr>
          <w:i/>
          <w:iCs/>
        </w:rPr>
        <w:t>People v. Snow</w:t>
      </w:r>
      <w:r w:rsidRPr="0052255D">
        <w:t xml:space="preserve"> (2003) 30 Cal.4th 43, 126.)</w:t>
      </w:r>
    </w:p>
    <w:p w:rsidR="004764BE" w:rsidRPr="0052255D" w:rsidP="0052255D">
      <w:pPr>
        <w:tabs>
          <w:tab w:val="left" w:pos="1440"/>
        </w:tabs>
        <w:ind w:firstLine="720"/>
      </w:pPr>
      <w:r w:rsidRPr="0052255D">
        <w:t>“The capital sentencing scheme does not violate equal protection by denying certain procedural protections to capital defendants that are available to noncapital defendants.”  (</w:t>
      </w:r>
      <w:r w:rsidRPr="0052255D">
        <w:rPr>
          <w:i/>
          <w:iCs/>
        </w:rPr>
        <w:t>People v. Scully</w:t>
      </w:r>
      <w:r w:rsidRPr="0052255D">
        <w:t xml:space="preserve"> (2021) 11 Cal.5th 542, 612</w:t>
      </w:r>
      <w:r w:rsidRPr="0052255D" w:rsidR="00E50E13">
        <w:t xml:space="preserve">; </w:t>
      </w:r>
      <w:r w:rsidRPr="0052255D" w:rsidR="00E50E13">
        <w:rPr>
          <w:i/>
          <w:iCs/>
        </w:rPr>
        <w:t xml:space="preserve">People v. Molano </w:t>
      </w:r>
      <w:r w:rsidRPr="0052255D" w:rsidR="00E50E13">
        <w:t>(2019) 7</w:t>
      </w:r>
      <w:r w:rsidR="00CE754F">
        <w:t> </w:t>
      </w:r>
      <w:r w:rsidRPr="0052255D" w:rsidR="00E50E13">
        <w:t>Cal.5th 620, 678</w:t>
      </w:r>
      <w:r w:rsidRPr="0052255D">
        <w:t xml:space="preserve">.) </w:t>
      </w:r>
    </w:p>
    <w:p w:rsidR="004E6CAB" w:rsidRPr="0052255D" w:rsidP="0052255D">
      <w:pPr>
        <w:tabs>
          <w:tab w:val="left" w:pos="1440"/>
        </w:tabs>
        <w:ind w:firstLine="720"/>
      </w:pPr>
      <w:r w:rsidRPr="0052255D">
        <w:t>“</w:t>
      </w:r>
      <w:r w:rsidRPr="0052255D" w:rsidR="00614B58">
        <w:t>California’s death penalty does not violate international law</w:t>
      </w:r>
      <w:r w:rsidRPr="0052255D">
        <w:t xml:space="preserve"> or international norms of decency</w:t>
      </w:r>
      <w:r w:rsidRPr="0052255D" w:rsidR="00614B58">
        <w:t>.</w:t>
      </w:r>
      <w:r w:rsidRPr="0052255D">
        <w:t>”</w:t>
      </w:r>
      <w:r w:rsidRPr="0052255D" w:rsidR="00614B58">
        <w:t xml:space="preserve">  (</w:t>
      </w:r>
      <w:r w:rsidRPr="0052255D" w:rsidR="00614B58">
        <w:rPr>
          <w:i/>
          <w:iCs/>
        </w:rPr>
        <w:t>People v. Frederickson</w:t>
      </w:r>
      <w:r w:rsidRPr="0052255D" w:rsidR="00614B58">
        <w:t xml:space="preserve"> (2020) 8 Cal.5th </w:t>
      </w:r>
      <w:r w:rsidRPr="0052255D" w:rsidR="007F70E3">
        <w:t>963</w:t>
      </w:r>
      <w:r w:rsidRPr="0052255D" w:rsidR="00614B58">
        <w:t>,</w:t>
      </w:r>
      <w:r w:rsidRPr="0052255D" w:rsidR="00BC20B1">
        <w:t xml:space="preserve"> </w:t>
      </w:r>
      <w:r w:rsidRPr="0052255D" w:rsidR="00614B58">
        <w:t>1027</w:t>
      </w:r>
      <w:r w:rsidRPr="0052255D" w:rsidR="00BC20B1">
        <w:t xml:space="preserve">; </w:t>
      </w:r>
      <w:r w:rsidRPr="0052255D" w:rsidR="00BC20B1">
        <w:rPr>
          <w:i/>
          <w:iCs/>
        </w:rPr>
        <w:t xml:space="preserve">People v. Powell </w:t>
      </w:r>
      <w:r w:rsidRPr="0052255D" w:rsidR="00BC20B1">
        <w:t>(2018) 5 Cal.5th 921, 965</w:t>
      </w:r>
      <w:r w:rsidRPr="0052255D" w:rsidR="00614B58">
        <w:t>.)</w:t>
      </w:r>
    </w:p>
    <w:p w:rsidR="00931C69" w:rsidRPr="0052255D" w:rsidP="0052255D">
      <w:pPr>
        <w:tabs>
          <w:tab w:val="left" w:pos="1440"/>
        </w:tabs>
        <w:ind w:firstLine="720"/>
      </w:pPr>
      <w:r w:rsidRPr="0052255D">
        <w:t>Because defendant has not demonstrated any basis for this court to find error in California’s death penalty laws, there is no reason to conclude that the cumulative impact of the alleged deficiencies in California’s death penalty scheme renders it constitutionally infirm.  (</w:t>
      </w:r>
      <w:r w:rsidRPr="0052255D" w:rsidR="009E67C7">
        <w:rPr>
          <w:i/>
          <w:iCs/>
        </w:rPr>
        <w:t xml:space="preserve">People v. Williams </w:t>
      </w:r>
      <w:r w:rsidRPr="0052255D" w:rsidR="009E67C7">
        <w:t>(2013) 58</w:t>
      </w:r>
      <w:r w:rsidR="00447433">
        <w:t> </w:t>
      </w:r>
      <w:r w:rsidRPr="0052255D" w:rsidR="009E67C7">
        <w:t xml:space="preserve">Cal.4th 197, 296; </w:t>
      </w:r>
      <w:r w:rsidRPr="0052255D">
        <w:rPr>
          <w:i/>
          <w:iCs/>
        </w:rPr>
        <w:t>People v. Garcia</w:t>
      </w:r>
      <w:r w:rsidRPr="0052255D">
        <w:t xml:space="preserve"> (2011) 52 Cal.4th 706, 756.)</w:t>
      </w:r>
    </w:p>
    <w:p w:rsidR="00535CD6" w:rsidRPr="0052255D" w:rsidP="0052255D">
      <w:pPr>
        <w:pStyle w:val="Heading3"/>
      </w:pPr>
      <w:bookmarkStart w:id="35" w:name="_Toc94515354"/>
      <w:r w:rsidRPr="0052255D">
        <w:t>6</w:t>
      </w:r>
      <w:r w:rsidRPr="0052255D">
        <w:t xml:space="preserve">.  Cumulative </w:t>
      </w:r>
      <w:r w:rsidRPr="0052255D">
        <w:t>e</w:t>
      </w:r>
      <w:r w:rsidRPr="0052255D" w:rsidR="0069549A">
        <w:t>ffect of</w:t>
      </w:r>
      <w:r w:rsidRPr="0052255D">
        <w:t xml:space="preserve"> </w:t>
      </w:r>
      <w:r w:rsidRPr="0052255D" w:rsidR="009B4A36">
        <w:t xml:space="preserve">asserted </w:t>
      </w:r>
      <w:r w:rsidRPr="0052255D">
        <w:t>g</w:t>
      </w:r>
      <w:r w:rsidRPr="0052255D">
        <w:t xml:space="preserve">uilt and </w:t>
      </w:r>
      <w:r w:rsidRPr="0052255D">
        <w:t>p</w:t>
      </w:r>
      <w:r w:rsidRPr="0052255D">
        <w:t xml:space="preserve">enalty </w:t>
      </w:r>
      <w:r w:rsidRPr="0052255D">
        <w:t>p</w:t>
      </w:r>
      <w:r w:rsidRPr="0052255D">
        <w:t>has</w:t>
      </w:r>
      <w:r w:rsidRPr="0052255D" w:rsidR="0069549A">
        <w:t xml:space="preserve">e </w:t>
      </w:r>
      <w:r w:rsidRPr="0052255D">
        <w:t>e</w:t>
      </w:r>
      <w:r w:rsidRPr="0052255D" w:rsidR="0069549A">
        <w:t>rrors</w:t>
      </w:r>
      <w:r w:rsidRPr="0052255D">
        <w:t xml:space="preserve"> </w:t>
      </w:r>
      <w:bookmarkEnd w:id="35"/>
      <w:r w:rsidRPr="0052255D">
        <w:t xml:space="preserve"> </w:t>
      </w:r>
    </w:p>
    <w:p w:rsidR="007D690F" w:rsidRPr="0052255D" w:rsidP="0052255D">
      <w:pPr>
        <w:tabs>
          <w:tab w:val="left" w:pos="1440"/>
        </w:tabs>
        <w:ind w:firstLine="720"/>
      </w:pPr>
      <w:r w:rsidRPr="0052255D">
        <w:t xml:space="preserve">Defendant contends </w:t>
      </w:r>
      <w:r w:rsidRPr="0052255D">
        <w:t xml:space="preserve">that the penalty judgment must be reversed due to the cumulative prejudice of the alleged errors </w:t>
      </w:r>
      <w:r w:rsidRPr="0052255D" w:rsidR="002F5A9A">
        <w:t xml:space="preserve">committed </w:t>
      </w:r>
      <w:r w:rsidRPr="0052255D">
        <w:t xml:space="preserve">during the guilt and penalty phases in violation of his due process right to a fundamentally fair and reliable trial under the California and federal Constitutions.  </w:t>
      </w:r>
      <w:r w:rsidRPr="0052255D" w:rsidR="008C4CDB">
        <w:t>We</w:t>
      </w:r>
      <w:r w:rsidRPr="0052255D" w:rsidR="00DB080B">
        <w:t xml:space="preserve"> </w:t>
      </w:r>
      <w:r w:rsidRPr="0052255D" w:rsidR="00835393">
        <w:t xml:space="preserve">have found </w:t>
      </w:r>
      <w:r w:rsidRPr="0052255D" w:rsidR="00D63883">
        <w:t>one</w:t>
      </w:r>
      <w:r w:rsidRPr="0052255D" w:rsidR="00835393">
        <w:t xml:space="preserve"> </w:t>
      </w:r>
      <w:r w:rsidRPr="0052255D" w:rsidR="00D63883">
        <w:t xml:space="preserve">harmless </w:t>
      </w:r>
      <w:r w:rsidRPr="0052255D" w:rsidR="00835393">
        <w:t xml:space="preserve">error in the guilt phase: </w:t>
      </w:r>
      <w:r w:rsidRPr="0052255D" w:rsidR="0096486C">
        <w:t>the trial court’s failure to instruct the jury on confessions in addition to admissions</w:t>
      </w:r>
      <w:r w:rsidRPr="0052255D" w:rsidR="00835393">
        <w:t xml:space="preserve">.  </w:t>
      </w:r>
      <w:r w:rsidRPr="0052255D" w:rsidR="008C4CDB">
        <w:t>We</w:t>
      </w:r>
      <w:r w:rsidRPr="0052255D">
        <w:t xml:space="preserve"> have </w:t>
      </w:r>
      <w:r w:rsidRPr="0052255D" w:rsidR="00BA606D">
        <w:t xml:space="preserve">found or </w:t>
      </w:r>
      <w:r w:rsidRPr="0052255D">
        <w:t xml:space="preserve">assumed </w:t>
      </w:r>
      <w:r w:rsidRPr="0052255D" w:rsidR="00754711">
        <w:t>two</w:t>
      </w:r>
      <w:r w:rsidRPr="0052255D">
        <w:t xml:space="preserve"> errors</w:t>
      </w:r>
      <w:r w:rsidRPr="0052255D" w:rsidR="001534CA">
        <w:t>, but no prejudice,</w:t>
      </w:r>
      <w:r w:rsidRPr="0052255D">
        <w:t xml:space="preserve"> in the penalty phase:  </w:t>
      </w:r>
      <w:r w:rsidRPr="0052255D" w:rsidR="00AB142F">
        <w:t xml:space="preserve">the trial court’s </w:t>
      </w:r>
      <w:r w:rsidRPr="0052255D" w:rsidR="003A190B">
        <w:t xml:space="preserve">exclusion of Towne’s testimony as </w:t>
      </w:r>
      <w:r w:rsidRPr="0052255D" w:rsidR="00DC6946">
        <w:t xml:space="preserve">evidence of lingering doubt under section 190.3, and </w:t>
      </w:r>
      <w:r w:rsidRPr="0052255D" w:rsidR="0096486C">
        <w:t>the court’s</w:t>
      </w:r>
      <w:r w:rsidRPr="0052255D" w:rsidR="00DC6946">
        <w:t xml:space="preserve"> </w:t>
      </w:r>
      <w:r w:rsidRPr="0052255D" w:rsidR="00AB142F">
        <w:t xml:space="preserve">failure to instruct on aider and abettor liability </w:t>
      </w:r>
      <w:r w:rsidRPr="0052255D" w:rsidR="001A1287">
        <w:t xml:space="preserve">after the prosecution presented evidence </w:t>
      </w:r>
      <w:r w:rsidRPr="0052255D" w:rsidR="006A6BA3">
        <w:t>pursuant to section 190.3, factor</w:t>
      </w:r>
      <w:r w:rsidR="001F73A1">
        <w:t> </w:t>
      </w:r>
      <w:r w:rsidRPr="0052255D" w:rsidR="006A6BA3">
        <w:t xml:space="preserve">(b) </w:t>
      </w:r>
      <w:r w:rsidRPr="0052255D" w:rsidR="001A1287">
        <w:t xml:space="preserve">that defendant </w:t>
      </w:r>
      <w:r w:rsidRPr="0052255D" w:rsidR="00B85FF3">
        <w:t xml:space="preserve">committed </w:t>
      </w:r>
      <w:r w:rsidRPr="0052255D" w:rsidR="002F5A9A">
        <w:t xml:space="preserve">second degree </w:t>
      </w:r>
      <w:r w:rsidRPr="0052255D" w:rsidR="00B85FF3">
        <w:t>robbery</w:t>
      </w:r>
      <w:r w:rsidRPr="0052255D" w:rsidR="001A1287">
        <w:t xml:space="preserve"> as an aider and abettor.</w:t>
      </w:r>
      <w:r w:rsidRPr="0052255D" w:rsidR="00557480">
        <w:t xml:space="preserve">  </w:t>
      </w:r>
      <w:r w:rsidRPr="0052255D" w:rsidR="00D14B39">
        <w:t>W</w:t>
      </w:r>
      <w:r w:rsidRPr="0052255D" w:rsidR="008874A8">
        <w:t>e</w:t>
      </w:r>
      <w:r w:rsidRPr="0052255D" w:rsidR="00557480">
        <w:t xml:space="preserve"> conclude that </w:t>
      </w:r>
      <w:r w:rsidRPr="0052255D" w:rsidR="008874A8">
        <w:t>the cumulative effect of these errors does not warrant reversal</w:t>
      </w:r>
      <w:r w:rsidRPr="0052255D" w:rsidR="006379B8">
        <w:t xml:space="preserve"> of the penalty judgment.</w:t>
      </w:r>
      <w:r w:rsidRPr="0052255D" w:rsidR="004749BF">
        <w:t xml:space="preserve">  (</w:t>
      </w:r>
      <w:r w:rsidRPr="0052255D" w:rsidR="00835FA7">
        <w:rPr>
          <w:i/>
          <w:iCs/>
        </w:rPr>
        <w:t>People v. Johnson</w:t>
      </w:r>
      <w:r w:rsidRPr="0052255D" w:rsidR="00835FA7">
        <w:t xml:space="preserve"> (2019) 8 Cal.5th 475, 525; </w:t>
      </w:r>
      <w:r w:rsidRPr="0052255D" w:rsidR="004749BF">
        <w:rPr>
          <w:i/>
          <w:iCs/>
        </w:rPr>
        <w:t>People v. Panah</w:t>
      </w:r>
      <w:r w:rsidRPr="0052255D" w:rsidR="004749BF">
        <w:t xml:space="preserve"> (2005) 35 Cal.4th 395, 479–480.)</w:t>
      </w:r>
    </w:p>
    <w:p w:rsidR="00B602F9" w:rsidRPr="0052255D" w:rsidP="0052255D">
      <w:pPr>
        <w:pStyle w:val="Heading2"/>
      </w:pPr>
      <w:r w:rsidRPr="0052255D">
        <w:t xml:space="preserve">C.  Newly Conferred Discretion </w:t>
      </w:r>
      <w:r w:rsidR="00AF6EF3">
        <w:t xml:space="preserve">Concerning </w:t>
      </w:r>
      <w:r w:rsidRPr="0052255D">
        <w:t>the Firearm and Serious Felony Enhancements</w:t>
      </w:r>
    </w:p>
    <w:p w:rsidR="003335F1" w:rsidRPr="0052255D" w:rsidP="0052255D">
      <w:pPr>
        <w:pStyle w:val="NormalIndent"/>
        <w:ind w:left="0" w:firstLine="720"/>
      </w:pPr>
      <w:r w:rsidRPr="0052255D">
        <w:t>Defendant contends that certain ameliorative legislation, enacted after he was sentenced, applies retroactively to his case</w:t>
      </w:r>
      <w:r w:rsidRPr="0052255D" w:rsidR="00E93754">
        <w:t xml:space="preserve"> and that a limited remand is appropriate to allow the trial court to consider its newly conferred sentencing discretion</w:t>
      </w:r>
      <w:r w:rsidRPr="0052255D">
        <w:t>.  We agree</w:t>
      </w:r>
      <w:r w:rsidRPr="0052255D" w:rsidR="00E93754">
        <w:t xml:space="preserve">.  </w:t>
      </w:r>
    </w:p>
    <w:p w:rsidR="00B467CB" w:rsidRPr="0052255D" w:rsidP="0052255D">
      <w:pPr>
        <w:pStyle w:val="NormalIndent"/>
        <w:ind w:left="0" w:firstLine="720"/>
      </w:pPr>
      <w:r w:rsidRPr="0052255D">
        <w:t>On January 1, 2018,</w:t>
      </w:r>
      <w:r w:rsidR="001A5BE9">
        <w:t xml:space="preserve"> </w:t>
      </w:r>
      <w:r w:rsidRPr="0052255D">
        <w:t>Senate Bill No.</w:t>
      </w:r>
      <w:r w:rsidR="001A5BE9">
        <w:t xml:space="preserve"> </w:t>
      </w:r>
      <w:r w:rsidRPr="0052255D">
        <w:t>620</w:t>
      </w:r>
      <w:r w:rsidR="001A5BE9">
        <w:t xml:space="preserve"> </w:t>
      </w:r>
      <w:r w:rsidR="007B1B44">
        <w:t xml:space="preserve">(2017–2018 Reg. Sess.) </w:t>
      </w:r>
      <w:r w:rsidRPr="0052255D">
        <w:t>became effective.  (Stats. 2017, ch. 682, §§</w:t>
      </w:r>
      <w:r w:rsidR="00D13841">
        <w:t> </w:t>
      </w:r>
      <w:r w:rsidRPr="0052255D">
        <w:t>1</w:t>
      </w:r>
      <w:r w:rsidR="000E0C30">
        <w:t>,</w:t>
      </w:r>
      <w:r w:rsidRPr="0052255D">
        <w:t xml:space="preserve"> 2.)</w:t>
      </w:r>
      <w:r w:rsidR="001A5BE9">
        <w:t xml:space="preserve"> </w:t>
      </w:r>
      <w:r w:rsidRPr="0052255D">
        <w:t xml:space="preserve"> The bill vested courts with authority to exercise their discretion to strike or dismiss firearm enhancements imposed under section 12022.5 (see § 12022.5, subd. (c)).</w:t>
      </w:r>
      <w:r w:rsidR="002545F4">
        <w:t xml:space="preserve"> </w:t>
      </w:r>
      <w:r w:rsidRPr="0052255D">
        <w:t xml:space="preserve"> Prior to the enactment of Senate Bill No. 620, these enhancements were mandatory.  (§ 12022.5, former subd. (c).)</w:t>
      </w:r>
      <w:r w:rsidRPr="0052255D">
        <w:rPr>
          <w:i/>
          <w:iCs/>
        </w:rPr>
        <w:t xml:space="preserve"> </w:t>
      </w:r>
    </w:p>
    <w:p w:rsidR="00A0624A" w:rsidRPr="0052255D" w:rsidP="0052255D">
      <w:pPr>
        <w:pStyle w:val="NormalIndent"/>
        <w:ind w:left="0" w:firstLine="720"/>
      </w:pPr>
      <w:r w:rsidRPr="0052255D">
        <w:rPr>
          <w:szCs w:val="26"/>
        </w:rPr>
        <w:t xml:space="preserve">On January 1, 2019, Senate Bill No. 1393 </w:t>
      </w:r>
      <w:r w:rsidR="003516EC">
        <w:t xml:space="preserve">(2017–2018 Reg. Sess.) </w:t>
      </w:r>
      <w:r w:rsidRPr="0052255D">
        <w:rPr>
          <w:szCs w:val="26"/>
        </w:rPr>
        <w:t xml:space="preserve">became effective. </w:t>
      </w:r>
      <w:r w:rsidR="00E22D89">
        <w:rPr>
          <w:szCs w:val="26"/>
        </w:rPr>
        <w:t xml:space="preserve"> </w:t>
      </w:r>
      <w:r w:rsidRPr="0052255D">
        <w:rPr>
          <w:szCs w:val="26"/>
        </w:rPr>
        <w:t>(See Stats. 2018, ch. 1013, §§</w:t>
      </w:r>
      <w:r w:rsidR="00D13841">
        <w:rPr>
          <w:szCs w:val="26"/>
        </w:rPr>
        <w:t> </w:t>
      </w:r>
      <w:r w:rsidRPr="0052255D">
        <w:rPr>
          <w:szCs w:val="26"/>
        </w:rPr>
        <w:t>1</w:t>
      </w:r>
      <w:r w:rsidR="00583E70">
        <w:rPr>
          <w:szCs w:val="26"/>
        </w:rPr>
        <w:t>,</w:t>
      </w:r>
      <w:r w:rsidRPr="0052255D">
        <w:rPr>
          <w:szCs w:val="26"/>
        </w:rPr>
        <w:t xml:space="preserve"> 2.)  This </w:t>
      </w:r>
      <w:r w:rsidRPr="0052255D" w:rsidR="00673122">
        <w:rPr>
          <w:szCs w:val="26"/>
        </w:rPr>
        <w:t>legislation</w:t>
      </w:r>
      <w:r w:rsidRPr="0052255D">
        <w:rPr>
          <w:szCs w:val="26"/>
        </w:rPr>
        <w:t xml:space="preserve"> amend</w:t>
      </w:r>
      <w:r w:rsidRPr="0052255D" w:rsidR="00673122">
        <w:rPr>
          <w:szCs w:val="26"/>
        </w:rPr>
        <w:t>ed</w:t>
      </w:r>
      <w:r w:rsidRPr="0052255D">
        <w:rPr>
          <w:szCs w:val="26"/>
        </w:rPr>
        <w:t xml:space="preserve"> sections 667, subdivision (a) and 1385, subdivision (b) to permit a trial court to exercise discretion to strike or dismiss prior serious felony enhancements “in the furtherance of justice.”  (See Stats. 2018, ch. 1013, §§</w:t>
      </w:r>
      <w:r w:rsidR="00D13841">
        <w:rPr>
          <w:szCs w:val="26"/>
        </w:rPr>
        <w:t> </w:t>
      </w:r>
      <w:r w:rsidRPr="0052255D">
        <w:rPr>
          <w:szCs w:val="26"/>
        </w:rPr>
        <w:t>1</w:t>
      </w:r>
      <w:r w:rsidR="00F235E8">
        <w:rPr>
          <w:szCs w:val="26"/>
        </w:rPr>
        <w:t>,</w:t>
      </w:r>
      <w:r w:rsidRPr="0052255D">
        <w:rPr>
          <w:szCs w:val="26"/>
        </w:rPr>
        <w:t xml:space="preserve"> 2.)  </w:t>
      </w:r>
      <w:r w:rsidRPr="0052255D" w:rsidR="003335F1">
        <w:rPr>
          <w:szCs w:val="26"/>
        </w:rPr>
        <w:t>At the time defendant was sentenced, the trial court was required under section </w:t>
      </w:r>
      <w:r w:rsidRPr="0052255D" w:rsidR="003335F1">
        <w:rPr>
          <w:szCs w:val="26"/>
          <w:bdr w:val="none" w:sz="0" w:space="0" w:color="auto" w:frame="1"/>
        </w:rPr>
        <w:t>667</w:t>
      </w:r>
      <w:r w:rsidRPr="0052255D" w:rsidR="003335F1">
        <w:rPr>
          <w:szCs w:val="26"/>
        </w:rPr>
        <w:t xml:space="preserve">, subdivision (a), to enhance the sentence imposed for conviction of a serious felony by five years for each qualifying prior serious felony conviction.  </w:t>
      </w:r>
    </w:p>
    <w:p w:rsidR="00505B88" w:rsidRPr="0052255D" w:rsidP="0052255D">
      <w:pPr>
        <w:tabs>
          <w:tab w:val="left" w:pos="1440"/>
        </w:tabs>
        <w:ind w:firstLine="720"/>
      </w:pPr>
      <w:r w:rsidRPr="0052255D">
        <w:t>The Attorney General agrees that Senate Bill No.</w:t>
      </w:r>
      <w:r w:rsidR="00574F96">
        <w:t xml:space="preserve"> </w:t>
      </w:r>
      <w:r w:rsidRPr="0052255D">
        <w:t xml:space="preserve">620 </w:t>
      </w:r>
      <w:r w:rsidR="003516EC">
        <w:t xml:space="preserve">(2017–2018 Reg. Sess.) </w:t>
      </w:r>
      <w:r w:rsidRPr="0052255D">
        <w:t xml:space="preserve">and </w:t>
      </w:r>
      <w:r w:rsidR="003516EC">
        <w:t xml:space="preserve">Senate Bill No. </w:t>
      </w:r>
      <w:r w:rsidRPr="0052255D">
        <w:t xml:space="preserve">1393 </w:t>
      </w:r>
      <w:r w:rsidR="003516EC">
        <w:t xml:space="preserve">(2017–2018 Reg. Sess.) </w:t>
      </w:r>
      <w:r w:rsidRPr="0052255D">
        <w:t xml:space="preserve">apply retroactively to defendant’s case, but maintains that a remand is unnecessary because the trial court indicated an intent not to strike the enhancements.  The Attorney General argues that remand for resentencing is unwarranted because the trial court’s statements and sentencing choices suggest that it would not have exercised its discretion </w:t>
      </w:r>
      <w:r w:rsidR="00F235E8">
        <w:t xml:space="preserve">to </w:t>
      </w:r>
      <w:r w:rsidRPr="0052255D">
        <w:t xml:space="preserve">dismiss the enhancements.  </w:t>
      </w:r>
    </w:p>
    <w:p w:rsidR="00505B88" w:rsidRPr="0052255D" w:rsidP="0052255D">
      <w:pPr>
        <w:ind w:firstLine="720"/>
      </w:pPr>
      <w:r w:rsidRPr="0052255D">
        <w:t>Based on our re</w:t>
      </w:r>
      <w:r w:rsidRPr="0052255D" w:rsidR="007A607D">
        <w:t xml:space="preserve">view of the record, we do not glean a clear indication </w:t>
      </w:r>
      <w:r w:rsidR="00C456F2">
        <w:t xml:space="preserve">that </w:t>
      </w:r>
      <w:r w:rsidRPr="0052255D" w:rsidR="007A607D">
        <w:t>the trial court</w:t>
      </w:r>
      <w:r w:rsidR="005F3D07">
        <w:t>,</w:t>
      </w:r>
      <w:r w:rsidRPr="0052255D" w:rsidR="007A607D">
        <w:t xml:space="preserve"> when it originally sentenced defendant</w:t>
      </w:r>
      <w:r w:rsidR="005F3D07">
        <w:t xml:space="preserve">, </w:t>
      </w:r>
      <w:r w:rsidRPr="0052255D" w:rsidR="007A607D">
        <w:t xml:space="preserve">would not have stricken the enhancements.  </w:t>
      </w:r>
      <w:r w:rsidRPr="0052255D" w:rsidR="00112416">
        <w:t xml:space="preserve">(See, e.g., </w:t>
      </w:r>
      <w:r w:rsidRPr="0052255D" w:rsidR="00112416">
        <w:rPr>
          <w:i/>
          <w:iCs/>
        </w:rPr>
        <w:t xml:space="preserve">People v. McDaniels </w:t>
      </w:r>
      <w:r w:rsidRPr="0052255D" w:rsidR="00112416">
        <w:t xml:space="preserve">(2018) 22 Cal.App.5th 420, 425.)  </w:t>
      </w:r>
      <w:r w:rsidRPr="0052255D" w:rsidR="007A607D">
        <w:t xml:space="preserve">Thus, </w:t>
      </w:r>
      <w:r w:rsidRPr="0052255D" w:rsidR="004C33CB">
        <w:t xml:space="preserve">we agree that a limited remand is appropriate under the circumstances </w:t>
      </w:r>
      <w:r w:rsidRPr="0052255D" w:rsidR="00530670">
        <w:t>for the sole purpose of allowing</w:t>
      </w:r>
      <w:r w:rsidRPr="0052255D" w:rsidR="004C33CB">
        <w:t xml:space="preserve"> the trial court </w:t>
      </w:r>
      <w:r w:rsidRPr="0052255D" w:rsidR="0071371D">
        <w:t xml:space="preserve">to consider </w:t>
      </w:r>
      <w:r w:rsidRPr="0052255D" w:rsidR="00530670">
        <w:t xml:space="preserve">whether to </w:t>
      </w:r>
      <w:r w:rsidRPr="0052255D" w:rsidR="00C72764">
        <w:t xml:space="preserve">exercise its newly conferred discretion and </w:t>
      </w:r>
      <w:r w:rsidRPr="0052255D" w:rsidR="00530670">
        <w:t>strike the enhancements</w:t>
      </w:r>
      <w:r w:rsidRPr="0052255D" w:rsidR="0071371D">
        <w:t>.</w:t>
      </w:r>
      <w:r w:rsidRPr="0052255D">
        <w:t xml:space="preserve">  </w:t>
      </w:r>
    </w:p>
    <w:p w:rsidR="00155600" w:rsidRPr="0052255D" w:rsidP="0052255D">
      <w:pPr>
        <w:pStyle w:val="Heading1"/>
      </w:pPr>
      <w:bookmarkStart w:id="36" w:name="_Toc94515355"/>
      <w:r w:rsidRPr="0052255D">
        <w:t>III</w:t>
      </w:r>
      <w:r w:rsidRPr="0052255D" w:rsidR="00F63BA7">
        <w:t xml:space="preserve">.  </w:t>
      </w:r>
      <w:r w:rsidRPr="0052255D">
        <w:t>Disposition</w:t>
      </w:r>
      <w:bookmarkEnd w:id="36"/>
    </w:p>
    <w:p w:rsidR="00872064" w:rsidRPr="0052255D" w:rsidP="0052255D">
      <w:pPr>
        <w:tabs>
          <w:tab w:val="left" w:pos="1440"/>
        </w:tabs>
        <w:ind w:firstLine="720"/>
      </w:pPr>
      <w:r w:rsidRPr="0052255D">
        <w:t xml:space="preserve">The judgment is </w:t>
      </w:r>
      <w:r w:rsidRPr="0052255D" w:rsidR="004749BF">
        <w:t>affirm</w:t>
      </w:r>
      <w:r w:rsidRPr="0052255D">
        <w:t>ed</w:t>
      </w:r>
      <w:r w:rsidRPr="0052255D" w:rsidR="004749BF">
        <w:t xml:space="preserve"> in its entirety.</w:t>
      </w:r>
      <w:r w:rsidRPr="0052255D" w:rsidR="00E1409E">
        <w:t xml:space="preserve">  The matter is remanded </w:t>
      </w:r>
      <w:r w:rsidRPr="0052255D" w:rsidR="00C41D90">
        <w:rPr>
          <w:szCs w:val="26"/>
        </w:rPr>
        <w:t>for the trial court to consider whether to strike the prior serious felony enhancement under section 667, subdivision</w:t>
      </w:r>
      <w:r w:rsidR="001F73A1">
        <w:rPr>
          <w:szCs w:val="26"/>
        </w:rPr>
        <w:t> </w:t>
      </w:r>
      <w:r w:rsidRPr="0052255D" w:rsidR="00C41D90">
        <w:rPr>
          <w:szCs w:val="26"/>
        </w:rPr>
        <w:t>(a) and the firearm enhancement</w:t>
      </w:r>
      <w:r w:rsidRPr="0052255D" w:rsidR="00782836">
        <w:rPr>
          <w:szCs w:val="26"/>
        </w:rPr>
        <w:t>s</w:t>
      </w:r>
      <w:r w:rsidRPr="0052255D" w:rsidR="00C41D90">
        <w:rPr>
          <w:szCs w:val="26"/>
        </w:rPr>
        <w:t xml:space="preserve"> under section 12022.5, subdivision</w:t>
      </w:r>
      <w:r w:rsidR="001F73A1">
        <w:rPr>
          <w:szCs w:val="26"/>
        </w:rPr>
        <w:t> </w:t>
      </w:r>
      <w:r w:rsidRPr="0052255D" w:rsidR="00C41D90">
        <w:rPr>
          <w:szCs w:val="26"/>
        </w:rPr>
        <w:t xml:space="preserve">(a), and thereafter </w:t>
      </w:r>
      <w:r w:rsidR="00BE2467">
        <w:rPr>
          <w:szCs w:val="26"/>
        </w:rPr>
        <w:t xml:space="preserve">to </w:t>
      </w:r>
      <w:r w:rsidRPr="0052255D" w:rsidR="00C41D90">
        <w:rPr>
          <w:szCs w:val="26"/>
        </w:rPr>
        <w:t xml:space="preserve">amend the abstract of judgment accordingly.  </w:t>
      </w:r>
    </w:p>
    <w:p w:rsidR="00460329" w:rsidRPr="0052255D" w:rsidP="0052255D">
      <w:pPr>
        <w:ind w:left="4320"/>
      </w:pPr>
      <w:r w:rsidRPr="0052255D">
        <w:rPr>
          <w:b/>
          <w:caps/>
        </w:rPr>
        <w:t>CANTIL-Sakauye, C. J.</w:t>
      </w:r>
    </w:p>
    <w:p w:rsidR="00B07646" w:rsidP="00BC70FB">
      <w:pPr>
        <w:tabs>
          <w:tab w:val="left" w:pos="1440"/>
        </w:tabs>
        <w:rPr>
          <w:b/>
        </w:rPr>
      </w:pPr>
      <w:r w:rsidRPr="00DC4B44">
        <w:rPr>
          <w:b/>
        </w:rPr>
        <w:t>We Concur</w:t>
      </w:r>
      <w:r>
        <w:rPr>
          <w:b/>
        </w:rPr>
        <w:t>:</w:t>
      </w:r>
    </w:p>
    <w:p w:rsidR="00FB3E90" w:rsidP="00FB3E90">
      <w:pPr>
        <w:pStyle w:val="Text"/>
        <w:spacing w:after="0" w:line="240" w:lineRule="auto"/>
        <w:ind w:firstLine="0"/>
        <w:rPr>
          <w:b/>
          <w:bCs/>
        </w:rPr>
      </w:pPr>
      <w:r>
        <w:rPr>
          <w:b/>
          <w:bCs/>
        </w:rPr>
        <w:t>CORRIGAN, J.</w:t>
      </w:r>
    </w:p>
    <w:p w:rsidR="00FB3E90" w:rsidP="00FB3E90">
      <w:pPr>
        <w:pStyle w:val="Text"/>
        <w:spacing w:after="0" w:line="240" w:lineRule="auto"/>
        <w:ind w:firstLine="0"/>
        <w:rPr>
          <w:b/>
          <w:bCs/>
        </w:rPr>
      </w:pPr>
      <w:r>
        <w:rPr>
          <w:b/>
          <w:bCs/>
        </w:rPr>
        <w:t>GROBAN, J.</w:t>
      </w:r>
    </w:p>
    <w:p w:rsidR="00FB3E90" w:rsidP="00FB3E90">
      <w:pPr>
        <w:pStyle w:val="Text"/>
        <w:spacing w:after="0" w:line="240" w:lineRule="auto"/>
        <w:ind w:firstLine="0"/>
        <w:rPr>
          <w:b/>
          <w:bCs/>
        </w:rPr>
      </w:pPr>
      <w:r>
        <w:rPr>
          <w:b/>
          <w:bCs/>
        </w:rPr>
        <w:t>JENKINS, J.</w:t>
      </w:r>
    </w:p>
    <w:p w:rsidR="00FB3E90" w:rsidP="00FB3E90">
      <w:pPr>
        <w:pStyle w:val="Text"/>
        <w:spacing w:after="0" w:line="240" w:lineRule="auto"/>
        <w:ind w:firstLine="0"/>
        <w:rPr>
          <w:b/>
          <w:bCs/>
        </w:rPr>
      </w:pPr>
      <w:r>
        <w:rPr>
          <w:b/>
          <w:bCs/>
        </w:rPr>
        <w:t>GUERRERO, J.</w:t>
      </w:r>
    </w:p>
    <w:p w:rsidR="00B843E5" w:rsidP="00F91951">
      <w:pPr>
        <w:tabs>
          <w:tab w:val="left" w:pos="1440"/>
        </w:tabs>
        <w:spacing w:line="480" w:lineRule="atLeast"/>
        <w:rPr>
          <w:b/>
        </w:rPr>
        <w:sectPr w:rsidSect="0052255D">
          <w:footerReference w:type="first" r:id="rId11"/>
          <w:pgSz w:w="12240" w:h="15840"/>
          <w:pgMar w:top="1800" w:right="2160" w:bottom="1440" w:left="2160" w:header="720" w:footer="720" w:gutter="0"/>
          <w:pgNumType w:start="1"/>
          <w:cols w:space="720"/>
          <w:titlePg/>
          <w:docGrid w:linePitch="367"/>
        </w:sectPr>
      </w:pPr>
    </w:p>
    <w:p w:rsidR="00887B33" w:rsidRPr="00887B33" w:rsidP="00887B33">
      <w:pPr>
        <w:tabs>
          <w:tab w:val="left" w:pos="1440"/>
          <w:tab w:val="left" w:pos="4680"/>
          <w:tab w:val="center" w:pos="7200"/>
        </w:tabs>
        <w:jc w:val="center"/>
      </w:pPr>
      <w:r w:rsidRPr="00887B33">
        <w:t>PEOPLE v. MATAELE</w:t>
      </w:r>
    </w:p>
    <w:p w:rsidR="00887B33" w:rsidRPr="00887B33" w:rsidP="00887B33">
      <w:pPr>
        <w:tabs>
          <w:tab w:val="left" w:pos="1440"/>
          <w:tab w:val="left" w:pos="4680"/>
          <w:tab w:val="center" w:pos="7200"/>
        </w:tabs>
        <w:jc w:val="center"/>
      </w:pPr>
      <w:r w:rsidRPr="00887B33">
        <w:t>S138052</w:t>
      </w:r>
    </w:p>
    <w:p w:rsidR="00887B33" w:rsidRPr="00887B33" w:rsidP="00887B33">
      <w:pPr>
        <w:jc w:val="center"/>
      </w:pPr>
    </w:p>
    <w:p w:rsidR="00887B33" w:rsidRPr="00887B33" w:rsidP="00887B33">
      <w:pPr>
        <w:jc w:val="center"/>
      </w:pPr>
      <w:r w:rsidRPr="00887B33">
        <w:t>Concurring Opinion by Justice Groban</w:t>
      </w:r>
    </w:p>
    <w:p w:rsidR="00887B33" w:rsidRPr="00887B33" w:rsidP="00887B33">
      <w:pPr>
        <w:jc w:val="left"/>
      </w:pPr>
    </w:p>
    <w:p w:rsidR="00887B33" w:rsidRPr="00887B33" w:rsidP="00887B33">
      <w:pPr>
        <w:tabs>
          <w:tab w:val="left" w:pos="1440"/>
        </w:tabs>
        <w:ind w:firstLine="720"/>
        <w:rPr>
          <w:szCs w:val="27"/>
        </w:rPr>
      </w:pPr>
      <w:bookmarkStart w:id="37" w:name="mainstory"/>
      <w:bookmarkEnd w:id="37"/>
      <w:r w:rsidRPr="00887B33">
        <w:rPr>
          <w:szCs w:val="27"/>
        </w:rPr>
        <w:t xml:space="preserve">I concur fully with the majority, but write separately to expand on the majority’s observation that </w:t>
      </w:r>
      <w:bookmarkStart w:id="38" w:name="_Hlk107309819"/>
      <w:r w:rsidRPr="00887B33">
        <w:rPr>
          <w:szCs w:val="27"/>
        </w:rPr>
        <w:t xml:space="preserve">“[w]e are not asked to decide whether defendant was prejudiced by defense counsel’s failure to secure [eyewitness Matthew] Towne’s appearance at the guilt phase trial[.]”  (Maj. opn., </w:t>
      </w:r>
      <w:r w:rsidRPr="00887B33">
        <w:rPr>
          <w:i/>
          <w:iCs/>
          <w:szCs w:val="27"/>
        </w:rPr>
        <w:t>ante</w:t>
      </w:r>
      <w:r w:rsidRPr="00887B33">
        <w:rPr>
          <w:szCs w:val="27"/>
        </w:rPr>
        <w:t xml:space="preserve">, at </w:t>
      </w:r>
      <w:r w:rsidRPr="00887B33">
        <w:rPr>
          <w:szCs w:val="27"/>
          <w:bdr w:val="none" w:sz="0" w:space="0" w:color="auto" w:frame="1"/>
        </w:rPr>
        <w:t>pp. 60–61</w:t>
      </w:r>
      <w:r w:rsidRPr="00887B33">
        <w:rPr>
          <w:szCs w:val="27"/>
        </w:rPr>
        <w:t xml:space="preserve">, fn. 8.)  </w:t>
      </w:r>
      <w:bookmarkEnd w:id="38"/>
      <w:r w:rsidRPr="00887B33">
        <w:rPr>
          <w:szCs w:val="27"/>
        </w:rPr>
        <w:t>As described more fully below, I believe a habeas corpus proceeding would be the appropriate forum to explore such a claim.</w:t>
      </w:r>
    </w:p>
    <w:p w:rsidR="00887B33" w:rsidRPr="00887B33" w:rsidP="00887B33">
      <w:pPr>
        <w:tabs>
          <w:tab w:val="left" w:pos="1440"/>
        </w:tabs>
        <w:ind w:firstLine="720"/>
        <w:rPr>
          <w:szCs w:val="27"/>
        </w:rPr>
      </w:pPr>
      <w:r w:rsidRPr="00887B33">
        <w:rPr>
          <w:szCs w:val="27"/>
        </w:rPr>
        <w:t>Defendant Tupoutoe Mataele contends that Towne’s testimony would have been valuable to his defense.  “</w:t>
      </w:r>
      <w:r w:rsidRPr="00887B33">
        <w:t xml:space="preserve">According to defense counsel’s offers of proof made at the guilt and penalty phases . . . , </w:t>
      </w:r>
      <w:r w:rsidRPr="00887B33">
        <w:rPr>
          <w:szCs w:val="27"/>
        </w:rPr>
        <w:t xml:space="preserve">Towne would have testified that he saw a shooter with a thin build in the parking lot across the street.  At the time of the shooting, defendant weighed more than 300 pounds; [Ryan] Carrillo was closer to 160 pounds.”  (Maj. opn., </w:t>
      </w:r>
      <w:r w:rsidRPr="00887B33">
        <w:rPr>
          <w:i/>
          <w:iCs/>
          <w:szCs w:val="27"/>
        </w:rPr>
        <w:t>ante</w:t>
      </w:r>
      <w:r w:rsidRPr="00887B33">
        <w:rPr>
          <w:szCs w:val="27"/>
        </w:rPr>
        <w:t xml:space="preserve">, at p. 37.)  This testimony would have been consistent with eyewitness John Fowler’s trial testimony; Fowler described the shooter as having a thin-to-medium build and being about 5 feet 10 inches.  Like Fowler, Towne was a disinterested third-party eyewitness.  As the majority recognizes, “Towne’s testimony would have been relevant and admissible at the guilt phase, but he could not be located.”  (Maj. opn., </w:t>
      </w:r>
      <w:r w:rsidRPr="00887B33">
        <w:rPr>
          <w:i/>
          <w:iCs/>
          <w:szCs w:val="27"/>
        </w:rPr>
        <w:t>ante</w:t>
      </w:r>
      <w:r w:rsidRPr="00887B33">
        <w:rPr>
          <w:szCs w:val="27"/>
        </w:rPr>
        <w:t xml:space="preserve">, at p. 66.)  </w:t>
      </w:r>
    </w:p>
    <w:p w:rsidR="00887B33" w:rsidRPr="00887B33" w:rsidP="00887B33">
      <w:pPr>
        <w:ind w:firstLine="720"/>
        <w:rPr>
          <w:szCs w:val="27"/>
          <w:shd w:val="clear" w:color="auto" w:fill="FFFFFF"/>
        </w:rPr>
      </w:pPr>
      <w:r w:rsidRPr="00887B33">
        <w:rPr>
          <w:szCs w:val="27"/>
        </w:rPr>
        <w:t>But defense  counsel made a decision that did not work out well for his client.  Counsel decided not to legally compel Towne’s appearance at trial, and instead relied on Towne’s voluntary appearance.</w:t>
      </w:r>
      <w:r>
        <w:rPr>
          <w:b/>
          <w:position w:val="4"/>
          <w:szCs w:val="27"/>
          <w:vertAlign w:val="superscript"/>
        </w:rPr>
        <w:footnoteReference w:id="15"/>
      </w:r>
      <w:r w:rsidRPr="00887B33">
        <w:rPr>
          <w:szCs w:val="27"/>
        </w:rPr>
        <w:t xml:space="preserve">  When trial commenced and counsel could not locate Towne, </w:t>
      </w:r>
      <w:r w:rsidRPr="00887B33">
        <w:rPr>
          <w:szCs w:val="27"/>
          <w:shd w:val="clear" w:color="auto" w:fill="FFFFFF"/>
        </w:rPr>
        <w:t xml:space="preserve">the trial court afforded defense counsel some time to secure Towne’s appearance at trial, but ultimately declined “to delay the trial anymore to try to get a witness in here who may never appear before the court.”  As such, Towne’s testimony was not presented to the jury during the guilt phase of Mataele’s trial.  While the defense located Towne before the penalty phase, </w:t>
      </w:r>
      <w:r w:rsidRPr="00887B33">
        <w:rPr>
          <w:szCs w:val="27"/>
        </w:rPr>
        <w:t xml:space="preserve">the trial court precluded Towne from testifying on the basis that his testimony constituted new evidence on the issue of guilt.  (Maj. opn., </w:t>
      </w:r>
      <w:r w:rsidRPr="00887B33">
        <w:rPr>
          <w:i/>
          <w:iCs/>
          <w:szCs w:val="27"/>
        </w:rPr>
        <w:t>ante</w:t>
      </w:r>
      <w:r w:rsidRPr="00887B33">
        <w:rPr>
          <w:szCs w:val="27"/>
        </w:rPr>
        <w:t xml:space="preserve">, at p. 61.)  </w:t>
      </w:r>
    </w:p>
    <w:p w:rsidR="00887B33" w:rsidRPr="00887B33" w:rsidP="00887B33">
      <w:pPr>
        <w:shd w:val="clear" w:color="auto" w:fill="FFFFFF"/>
        <w:spacing w:afterAutospacing="1"/>
        <w:ind w:firstLine="720"/>
        <w:jc w:val="left"/>
        <w:textAlignment w:val="baseline"/>
        <w:rPr>
          <w:szCs w:val="27"/>
          <w:bdr w:val="none" w:sz="0" w:space="0" w:color="auto" w:frame="1"/>
        </w:rPr>
      </w:pPr>
      <w:r w:rsidRPr="00887B33">
        <w:rPr>
          <w:szCs w:val="27"/>
          <w:shd w:val="clear" w:color="auto" w:fill="FFFFFF"/>
        </w:rPr>
        <w:t>“</w:t>
      </w:r>
      <w:r w:rsidRPr="00887B33">
        <w:rPr>
          <w:szCs w:val="27"/>
        </w:rPr>
        <w:t>As we have observed in the past, certain practical constraints make it more difficult to address ineffective assistance claims on direct appeal rather than in the context of a habeas corpus proceeding.   </w:t>
      </w:r>
      <w:r w:rsidRPr="00887B33">
        <w:rPr>
          <w:szCs w:val="27"/>
          <w:bdr w:val="none" w:sz="0" w:space="0" w:color="auto" w:frame="1"/>
        </w:rPr>
        <w:t>[Citations.]  The record on appeal may not explain why counsel chose to act as he or she did.”  (</w:t>
      </w:r>
      <w:r w:rsidRPr="00887B33">
        <w:rPr>
          <w:i/>
          <w:iCs/>
          <w:szCs w:val="27"/>
          <w:shd w:val="clear" w:color="auto" w:fill="FFFFFF"/>
        </w:rPr>
        <w:t xml:space="preserve">People v. Mickel </w:t>
      </w:r>
      <w:r w:rsidRPr="00887B33">
        <w:rPr>
          <w:szCs w:val="27"/>
          <w:shd w:val="clear" w:color="auto" w:fill="FFFFFF"/>
        </w:rPr>
        <w:t>(2016) 2 Cal.5th 181, 198 (</w:t>
      </w:r>
      <w:r w:rsidRPr="00887B33">
        <w:rPr>
          <w:i/>
          <w:iCs/>
          <w:szCs w:val="27"/>
          <w:shd w:val="clear" w:color="auto" w:fill="FFFFFF"/>
        </w:rPr>
        <w:t>Mickel</w:t>
      </w:r>
      <w:r w:rsidRPr="00887B33">
        <w:rPr>
          <w:szCs w:val="27"/>
          <w:shd w:val="clear" w:color="auto" w:fill="FFFFFF"/>
        </w:rPr>
        <w:t>)</w:t>
      </w:r>
      <w:r w:rsidRPr="00887B33">
        <w:rPr>
          <w:szCs w:val="27"/>
          <w:bdr w:val="none" w:sz="0" w:space="0" w:color="auto" w:frame="1"/>
        </w:rPr>
        <w:t>.)</w:t>
      </w:r>
      <w:r w:rsidRPr="00887B33">
        <w:rPr>
          <w:i/>
          <w:iCs/>
          <w:szCs w:val="27"/>
          <w:shd w:val="clear" w:color="auto" w:fill="FFFFFF"/>
        </w:rPr>
        <w:t xml:space="preserve">  </w:t>
      </w:r>
      <w:r w:rsidRPr="00887B33">
        <w:rPr>
          <w:szCs w:val="27"/>
          <w:shd w:val="clear" w:color="auto" w:fill="FFFFFF"/>
        </w:rPr>
        <w:t xml:space="preserve">Perhaps for this reason, Mataele’s appellate counsel does not ask us here to consider whether trial counsel was ineffective.  </w:t>
      </w:r>
    </w:p>
    <w:p w:rsidR="00887B33" w:rsidRPr="00887B33" w:rsidP="00887B33">
      <w:pPr>
        <w:shd w:val="clear" w:color="auto" w:fill="FFFFFF"/>
        <w:spacing w:afterAutospacing="1"/>
        <w:ind w:firstLine="720"/>
        <w:jc w:val="left"/>
        <w:textAlignment w:val="baseline"/>
        <w:rPr>
          <w:szCs w:val="27"/>
          <w:bdr w:val="none" w:sz="0" w:space="0" w:color="auto" w:frame="1"/>
        </w:rPr>
      </w:pPr>
      <w:r w:rsidRPr="00887B33">
        <w:rPr>
          <w:szCs w:val="27"/>
          <w:bdr w:val="none" w:sz="0" w:space="0" w:color="auto" w:frame="1"/>
          <w:shd w:val="clear" w:color="auto" w:fill="FFFFFF"/>
        </w:rPr>
        <w:t xml:space="preserve">In order to make a showing of ineffective assistance of counsel, a defendant must satisfy the two-prong standard under </w:t>
      </w:r>
      <w:r w:rsidRPr="00887B33">
        <w:rPr>
          <w:i/>
          <w:iCs/>
          <w:szCs w:val="27"/>
        </w:rPr>
        <w:t>Strickland v. Washington</w:t>
      </w:r>
      <w:r w:rsidRPr="00887B33">
        <w:rPr>
          <w:szCs w:val="27"/>
        </w:rPr>
        <w:t> (1984) 466 U.S. 668</w:t>
      </w:r>
      <w:r w:rsidRPr="00887B33">
        <w:rPr>
          <w:szCs w:val="27"/>
          <w:bdr w:val="none" w:sz="0" w:space="0" w:color="auto" w:frame="1"/>
          <w:shd w:val="clear" w:color="auto" w:fill="FFFFFF"/>
        </w:rPr>
        <w:t xml:space="preserve">.  First, “the defendant must show that counsel’s representation fell below an objective standard of reasonableness.”  </w:t>
      </w:r>
      <w:r w:rsidRPr="00887B33">
        <w:rPr>
          <w:szCs w:val="27"/>
          <w:shd w:val="clear" w:color="auto" w:fill="FFFFFF"/>
        </w:rPr>
        <w:t>(</w:t>
      </w:r>
      <w:r w:rsidRPr="00887B33">
        <w:rPr>
          <w:i/>
          <w:iCs/>
          <w:szCs w:val="27"/>
        </w:rPr>
        <w:t>Id.</w:t>
      </w:r>
      <w:r w:rsidRPr="00887B33">
        <w:rPr>
          <w:szCs w:val="27"/>
        </w:rPr>
        <w:t xml:space="preserve"> at p. 688</w:t>
      </w:r>
      <w:r w:rsidRPr="00887B33">
        <w:rPr>
          <w:szCs w:val="27"/>
          <w:shd w:val="clear" w:color="auto" w:fill="FFFFFF"/>
        </w:rPr>
        <w:t xml:space="preserve">.)  Second, </w:t>
      </w:r>
      <w:r w:rsidRPr="00887B33">
        <w:rPr>
          <w:szCs w:val="27"/>
          <w:bdr w:val="none" w:sz="0" w:space="0" w:color="auto" w:frame="1"/>
        </w:rPr>
        <w:t xml:space="preserve">the court asks whether “there is a reasonable probability that, but for counsel’s unprofessional errors, the result of the proceeding would have been different.”  </w:t>
      </w:r>
      <w:r w:rsidRPr="00887B33">
        <w:rPr>
          <w:szCs w:val="27"/>
          <w:shd w:val="clear" w:color="auto" w:fill="FFFFFF"/>
        </w:rPr>
        <w:t>(</w:t>
      </w:r>
      <w:r w:rsidRPr="00887B33">
        <w:rPr>
          <w:i/>
          <w:iCs/>
          <w:szCs w:val="27"/>
          <w:shd w:val="clear" w:color="auto" w:fill="FFFFFF"/>
        </w:rPr>
        <w:t>Id.</w:t>
      </w:r>
      <w:r w:rsidRPr="00887B33">
        <w:rPr>
          <w:szCs w:val="27"/>
          <w:shd w:val="clear" w:color="auto" w:fill="FFFFFF"/>
        </w:rPr>
        <w:t xml:space="preserve"> </w:t>
      </w:r>
      <w:r w:rsidRPr="00887B33">
        <w:rPr>
          <w:szCs w:val="27"/>
          <w:bdr w:val="none" w:sz="0" w:space="0" w:color="auto" w:frame="1"/>
        </w:rPr>
        <w:t xml:space="preserve">at p. 694; see also </w:t>
      </w:r>
      <w:r w:rsidRPr="00887B33">
        <w:rPr>
          <w:i/>
          <w:iCs/>
          <w:szCs w:val="27"/>
          <w:bdr w:val="none" w:sz="0" w:space="0" w:color="auto" w:frame="1"/>
        </w:rPr>
        <w:t>People v. Johnson</w:t>
      </w:r>
      <w:r w:rsidRPr="00887B33">
        <w:rPr>
          <w:szCs w:val="27"/>
          <w:bdr w:val="none" w:sz="0" w:space="0" w:color="auto" w:frame="1"/>
        </w:rPr>
        <w:t xml:space="preserve"> (2016) 62 Cal.4th 600, 653.)  </w:t>
      </w:r>
    </w:p>
    <w:p w:rsidR="00887B33" w:rsidRPr="00887B33" w:rsidP="00887B33">
      <w:pPr>
        <w:shd w:val="clear" w:color="auto" w:fill="FFFFFF"/>
        <w:spacing w:afterAutospacing="1"/>
        <w:ind w:firstLine="720"/>
        <w:jc w:val="left"/>
        <w:textAlignment w:val="baseline"/>
        <w:rPr>
          <w:szCs w:val="27"/>
          <w:bdr w:val="none" w:sz="0" w:space="0" w:color="auto" w:frame="1"/>
        </w:rPr>
      </w:pPr>
      <w:r w:rsidRPr="00887B33">
        <w:rPr>
          <w:szCs w:val="27"/>
          <w:bdr w:val="none" w:sz="0" w:space="0" w:color="auto" w:frame="1"/>
          <w:shd w:val="clear" w:color="auto" w:fill="FFFFFF"/>
        </w:rPr>
        <w:t xml:space="preserve">As to the question of deficient performance, we do not have the benefit of a declaration from defense counsel, but notably, </w:t>
      </w:r>
      <w:r w:rsidRPr="00887B33">
        <w:rPr>
          <w:szCs w:val="27"/>
          <w:bdr w:val="none" w:sz="0" w:space="0" w:color="auto" w:frame="1"/>
        </w:rPr>
        <w:t xml:space="preserve">in moving for a new trial, counsel argued that “a new trial should be granted in the guilt phase based on Matt Towne’s expected testimony.”  He tried to characterize Towne’s expected testimony as “newly discovered evidence” and asserted in part, “[a]ssuming arguendo a lack of due diligence in discovering the evidence presented at the motion for a new trial, this lack of due diligence cannot justify a denial of the new trial motion where the newly discovered evidence would probably lead to a different result at trial.  If a trial court determines that a defendant did not have a fair trial on the merits and that by reason of the newly discovered evidence the result could reasonably and probably be different on retrial, it should not seek to sustain an erroneous judgment imposing criminal penalties on the defendant as a way of punishing defense counsel’s lack of diligence.” </w:t>
      </w:r>
    </w:p>
    <w:p w:rsidR="00887B33" w:rsidRPr="00887B33" w:rsidP="00887B33">
      <w:pPr>
        <w:shd w:val="clear" w:color="auto" w:fill="FFFFFF"/>
        <w:spacing w:afterAutospacing="1"/>
        <w:ind w:firstLine="720"/>
        <w:jc w:val="left"/>
        <w:textAlignment w:val="baseline"/>
        <w:rPr>
          <w:szCs w:val="27"/>
          <w:bdr w:val="none" w:sz="0" w:space="0" w:color="auto" w:frame="1"/>
        </w:rPr>
      </w:pPr>
      <w:r w:rsidRPr="00887B33">
        <w:rPr>
          <w:szCs w:val="27"/>
          <w:bdr w:val="none" w:sz="0" w:space="0" w:color="auto" w:frame="1"/>
        </w:rPr>
        <w:t>I take no view on the reasonableness of trial counsel’s actions</w:t>
      </w:r>
      <w:r w:rsidRPr="00887B33">
        <w:rPr>
          <w:szCs w:val="27"/>
          <w:bdr w:val="none" w:sz="0" w:space="0" w:color="auto" w:frame="1"/>
          <w:shd w:val="clear" w:color="auto" w:fill="FFFFFF"/>
        </w:rPr>
        <w:t xml:space="preserve">.  (Cf. </w:t>
      </w:r>
      <w:r w:rsidRPr="00887B33">
        <w:rPr>
          <w:i/>
          <w:iCs/>
          <w:szCs w:val="27"/>
          <w:bdr w:val="none" w:sz="0" w:space="0" w:color="auto" w:frame="1"/>
        </w:rPr>
        <w:t xml:space="preserve">People v. Sanders </w:t>
      </w:r>
      <w:r w:rsidRPr="00887B33">
        <w:rPr>
          <w:szCs w:val="27"/>
          <w:bdr w:val="none" w:sz="0" w:space="0" w:color="auto" w:frame="1"/>
        </w:rPr>
        <w:t xml:space="preserve">(1995) 11 Cal.4th 475, 523 </w:t>
      </w:r>
      <w:r w:rsidRPr="00887B33">
        <w:rPr>
          <w:szCs w:val="27"/>
          <w:bdr w:val="none" w:sz="0" w:space="0" w:color="auto" w:frame="1"/>
          <w:shd w:val="clear" w:color="auto" w:fill="FFFFFF"/>
        </w:rPr>
        <w:t>[considering the phrase “reasonable diligence” within the meaning of Evidence Code, section 240, subdivision (a)(5) and explaining, “ ‘</w:t>
      </w:r>
      <w:r w:rsidRPr="00887B33">
        <w:rPr>
          <w:szCs w:val="27"/>
          <w:bdr w:val="none" w:sz="0" w:space="0" w:color="auto" w:frame="1"/>
        </w:rPr>
        <w:t xml:space="preserve">[w]hat constitutes due diligence to secure the presence of a witness depends upon the facts of the individual case.  [Citation.]  The term is incapable of a mechanical definition’ ”].)  </w:t>
      </w:r>
    </w:p>
    <w:p w:rsidR="00887B33" w:rsidRPr="00887B33" w:rsidP="00887B33">
      <w:pPr>
        <w:shd w:val="clear" w:color="auto" w:fill="FFFFFF"/>
        <w:spacing w:afterAutospacing="1"/>
        <w:ind w:firstLine="720"/>
        <w:jc w:val="left"/>
        <w:textAlignment w:val="baseline"/>
        <w:rPr>
          <w:szCs w:val="27"/>
          <w:bdr w:val="none" w:sz="0" w:space="0" w:color="auto" w:frame="1"/>
        </w:rPr>
      </w:pPr>
      <w:r w:rsidRPr="00887B33">
        <w:rPr>
          <w:szCs w:val="27"/>
          <w:bdr w:val="none" w:sz="0" w:space="0" w:color="auto" w:frame="1"/>
        </w:rPr>
        <w:t xml:space="preserve">Similarly, I take no position on whether Mataele was prejudiced by any potential ineffectiveness by trial counsel.  Again, “[w]e are not asked to decide whether defendant was prejudiced by defense counsel’s failure to secure Towne’s appearance at the guilt phase trial[.]”  (Maj. opn., </w:t>
      </w:r>
      <w:r w:rsidRPr="00887B33">
        <w:rPr>
          <w:i/>
          <w:iCs/>
          <w:szCs w:val="27"/>
          <w:bdr w:val="none" w:sz="0" w:space="0" w:color="auto" w:frame="1"/>
        </w:rPr>
        <w:t>ante</w:t>
      </w:r>
      <w:r w:rsidRPr="00887B33">
        <w:rPr>
          <w:szCs w:val="27"/>
          <w:bdr w:val="none" w:sz="0" w:space="0" w:color="auto" w:frame="1"/>
        </w:rPr>
        <w:t>, at pp. 60–61, fn. 8.)  The question of counsel’s ineffectiveness at the guilt phase, and any prejudice therefrom, poses a distinct question from the question debated by the majority and the dissent, i.e., whether Mataele was prejudiced by the trial court’s erroneous exclusion of Towne’s testimony  at the penalty phase.</w:t>
      </w:r>
    </w:p>
    <w:p w:rsidR="00887B33" w:rsidRPr="00887B33" w:rsidP="00887B33">
      <w:pPr>
        <w:shd w:val="clear" w:color="auto" w:fill="FFFFFF"/>
        <w:spacing w:afterAutospacing="1"/>
        <w:ind w:firstLine="720"/>
        <w:jc w:val="left"/>
        <w:textAlignment w:val="baseline"/>
        <w:rPr>
          <w:szCs w:val="27"/>
          <w:shd w:val="clear" w:color="auto" w:fill="FFFFFF"/>
        </w:rPr>
      </w:pPr>
      <w:r w:rsidRPr="00887B33">
        <w:rPr>
          <w:szCs w:val="27"/>
        </w:rPr>
        <w:t>On habeas corpus, a petitioner provides a court with “reasonably available documentary evidence supporting the claim, including pertinent portions of trial transcripts and affidavits or declarations.”  (</w:t>
      </w:r>
      <w:r w:rsidRPr="00887B33">
        <w:rPr>
          <w:i/>
          <w:iCs/>
          <w:szCs w:val="27"/>
        </w:rPr>
        <w:t xml:space="preserve">People v. Duvall </w:t>
      </w:r>
      <w:r w:rsidRPr="00887B33">
        <w:rPr>
          <w:szCs w:val="27"/>
        </w:rPr>
        <w:t>(1995) 9 Cal.4th 464, 474.)  Mataele can provide sworn declarations as to why defense counsel did not use legal process to secure Towne’s testimony at the guilt phase.  Similarly, additional evidence, including declarations, might further illuminate exactly what Towne would have testified to and if it would have been helpful to the defense at guilt.  Moreover, if an order to show cause issues, the court may conduct an evidentiary hearing and hear directly from relevant witnesses, including (if they are available) Mataele’s trial counsel, Mataele’s investigator (Carpenter) and, most significantly, Towne himself.  (</w:t>
      </w:r>
      <w:r w:rsidRPr="00887B33">
        <w:rPr>
          <w:i/>
          <w:iCs/>
          <w:szCs w:val="27"/>
        </w:rPr>
        <w:t xml:space="preserve">In re Figueroa </w:t>
      </w:r>
      <w:r w:rsidRPr="00887B33">
        <w:rPr>
          <w:szCs w:val="27"/>
        </w:rPr>
        <w:t>(2018) 4 Cal.5th 576, 587) [if “the court conclude[s]</w:t>
      </w:r>
      <w:r w:rsidRPr="00887B33">
        <w:rPr>
          <w:color w:val="212121"/>
          <w:szCs w:val="27"/>
          <w:shd w:val="clear" w:color="auto" w:fill="FFFFFF"/>
        </w:rPr>
        <w:t xml:space="preserve"> </w:t>
      </w:r>
      <w:r w:rsidRPr="00887B33">
        <w:rPr>
          <w:szCs w:val="27"/>
        </w:rPr>
        <w:t xml:space="preserve">there are factual issues in dispute, ‘it may appoint a referee and order an evidentiary hearing’ ”].)  In sum, this is a highly fact-specific inquiry that will benefit from additional argument and evidence that is not part of the record before us on direct appeal.  This is precisely what a habeas corpus proceeding is best suited for.  </w:t>
      </w:r>
      <w:r w:rsidRPr="00887B33">
        <w:rPr>
          <w:szCs w:val="27"/>
          <w:shd w:val="clear" w:color="auto" w:fill="FFFFFF"/>
        </w:rPr>
        <w:t xml:space="preserve">(Cf. </w:t>
      </w:r>
      <w:r w:rsidRPr="00887B33">
        <w:rPr>
          <w:i/>
          <w:iCs/>
          <w:szCs w:val="27"/>
          <w:shd w:val="clear" w:color="auto" w:fill="FFFFFF"/>
        </w:rPr>
        <w:t>Mickel</w:t>
      </w:r>
      <w:r w:rsidRPr="00887B33">
        <w:rPr>
          <w:szCs w:val="27"/>
          <w:shd w:val="clear" w:color="auto" w:fill="FFFFFF"/>
        </w:rPr>
        <w:t xml:space="preserve">, </w:t>
      </w:r>
      <w:r w:rsidRPr="00887B33">
        <w:rPr>
          <w:i/>
          <w:iCs/>
          <w:szCs w:val="27"/>
          <w:shd w:val="clear" w:color="auto" w:fill="FFFFFF"/>
        </w:rPr>
        <w:t>supra</w:t>
      </w:r>
      <w:r w:rsidRPr="00887B33">
        <w:rPr>
          <w:szCs w:val="27"/>
          <w:shd w:val="clear" w:color="auto" w:fill="FFFFFF"/>
        </w:rPr>
        <w:t>, 2 Cal.5th at p. 198.)</w:t>
      </w:r>
    </w:p>
    <w:p w:rsidR="00887B33" w:rsidRPr="00887B33" w:rsidP="00887B33">
      <w:pPr>
        <w:shd w:val="clear" w:color="auto" w:fill="FFFFFF"/>
        <w:spacing w:afterAutospacing="1"/>
        <w:ind w:firstLine="720"/>
        <w:jc w:val="left"/>
        <w:textAlignment w:val="baseline"/>
        <w:rPr>
          <w:szCs w:val="27"/>
        </w:rPr>
      </w:pPr>
    </w:p>
    <w:p w:rsidR="00887B33" w:rsidRPr="00887B33" w:rsidP="00887B33">
      <w:pPr>
        <w:ind w:firstLine="720"/>
        <w:rPr>
          <w:b/>
          <w:bCs/>
          <w:szCs w:val="27"/>
        </w:rPr>
      </w:pPr>
      <w:r w:rsidRPr="00887B33">
        <w:rPr>
          <w:szCs w:val="27"/>
        </w:rPr>
        <w:tab/>
      </w:r>
      <w:r w:rsidRPr="00887B33">
        <w:rPr>
          <w:szCs w:val="27"/>
        </w:rPr>
        <w:tab/>
      </w:r>
      <w:r w:rsidRPr="00887B33">
        <w:rPr>
          <w:szCs w:val="27"/>
        </w:rPr>
        <w:tab/>
      </w:r>
      <w:r w:rsidRPr="00887B33">
        <w:rPr>
          <w:szCs w:val="27"/>
        </w:rPr>
        <w:tab/>
      </w:r>
      <w:r w:rsidRPr="00887B33">
        <w:rPr>
          <w:szCs w:val="27"/>
        </w:rPr>
        <w:tab/>
      </w:r>
      <w:r w:rsidRPr="00887B33">
        <w:rPr>
          <w:szCs w:val="27"/>
        </w:rPr>
        <w:tab/>
      </w:r>
      <w:r w:rsidRPr="00887B33">
        <w:rPr>
          <w:b/>
          <w:bCs/>
          <w:szCs w:val="27"/>
        </w:rPr>
        <w:t>GROBAN, J.</w:t>
      </w:r>
    </w:p>
    <w:p w:rsidR="00887B33" w:rsidRPr="00887B33" w:rsidP="00887B33">
      <w:pPr>
        <w:rPr>
          <w:b/>
          <w:bCs/>
          <w:szCs w:val="27"/>
        </w:rPr>
      </w:pPr>
      <w:r w:rsidRPr="00887B33">
        <w:rPr>
          <w:szCs w:val="27"/>
          <w:bdr w:val="none" w:sz="0" w:space="0" w:color="auto" w:frame="1"/>
        </w:rPr>
        <w:t xml:space="preserve"> </w:t>
      </w:r>
    </w:p>
    <w:p w:rsidR="00737791" w:rsidP="00F91951">
      <w:pPr>
        <w:tabs>
          <w:tab w:val="left" w:pos="1440"/>
        </w:tabs>
        <w:spacing w:line="480" w:lineRule="atLeast"/>
        <w:rPr>
          <w:b/>
        </w:rPr>
        <w:sectPr w:rsidSect="0052255D">
          <w:headerReference w:type="default" r:id="rId12"/>
          <w:footnotePr>
            <w:numRestart w:val="eachSect"/>
          </w:footnotePr>
          <w:pgSz w:w="12240" w:h="15840"/>
          <w:pgMar w:top="1800" w:right="2160" w:bottom="1440" w:left="2160" w:header="720" w:footer="720" w:gutter="0"/>
          <w:pgNumType w:start="1"/>
          <w:cols w:space="720"/>
          <w:titlePg/>
          <w:docGrid w:linePitch="367"/>
        </w:sectPr>
      </w:pPr>
    </w:p>
    <w:p w:rsidR="00737791" w:rsidP="00737791">
      <w:pPr>
        <w:jc w:val="center"/>
        <w:rPr>
          <w:szCs w:val="27"/>
        </w:rPr>
      </w:pPr>
      <w:r>
        <w:rPr>
          <w:szCs w:val="27"/>
        </w:rPr>
        <w:t>PEOPLE v. MATAELE</w:t>
      </w:r>
    </w:p>
    <w:p w:rsidR="00737791" w:rsidP="00737791">
      <w:pPr>
        <w:jc w:val="center"/>
        <w:rPr>
          <w:szCs w:val="27"/>
        </w:rPr>
      </w:pPr>
      <w:r>
        <w:rPr>
          <w:szCs w:val="27"/>
        </w:rPr>
        <w:t>S138052</w:t>
      </w:r>
    </w:p>
    <w:p w:rsidR="00737791" w:rsidP="00737791">
      <w:pPr>
        <w:jc w:val="center"/>
        <w:rPr>
          <w:szCs w:val="27"/>
        </w:rPr>
      </w:pPr>
    </w:p>
    <w:p w:rsidR="00737791" w:rsidP="00737791">
      <w:pPr>
        <w:jc w:val="center"/>
        <w:rPr>
          <w:szCs w:val="27"/>
        </w:rPr>
      </w:pPr>
      <w:r>
        <w:rPr>
          <w:szCs w:val="27"/>
        </w:rPr>
        <w:t>Concurring and Dissenting Opinion by Justice Liu</w:t>
      </w:r>
    </w:p>
    <w:p w:rsidR="00737791" w:rsidP="00737791">
      <w:pPr>
        <w:jc w:val="center"/>
        <w:rPr>
          <w:szCs w:val="27"/>
        </w:rPr>
      </w:pPr>
    </w:p>
    <w:p w:rsidR="00737791" w:rsidP="00737791">
      <w:pPr>
        <w:pStyle w:val="BodyText"/>
        <w:ind w:firstLine="720"/>
        <w:rPr>
          <w:szCs w:val="27"/>
        </w:rPr>
      </w:pPr>
      <w:r>
        <w:rPr>
          <w:szCs w:val="27"/>
        </w:rPr>
        <w:t xml:space="preserve">Defendant Tupoutoe Mataele was sentenced to death by a jury wrongly prevented from hearing testimony from an eyewitness who would have described the shooter in a manner inconsistent with Mataele’s size.  As today’s opinion holds, the trial court erred in excluding this testimony in the penalty phase.  (Maj. opn., </w:t>
      </w:r>
      <w:r>
        <w:rPr>
          <w:i/>
          <w:iCs/>
          <w:szCs w:val="27"/>
        </w:rPr>
        <w:t>ante</w:t>
      </w:r>
      <w:r>
        <w:rPr>
          <w:szCs w:val="27"/>
        </w:rPr>
        <w:t>, at p. 67.)  But I cannot agree with today’s further holding that the error was harmless.  In the circumstances here, I believe the error was of the sort that “may have led a single juror to vote for the death penalty, who, if the error had not occurred, would not have done so.”  (</w:t>
      </w:r>
      <w:r>
        <w:rPr>
          <w:i/>
          <w:iCs/>
          <w:szCs w:val="27"/>
        </w:rPr>
        <w:t>People v. Terry</w:t>
      </w:r>
      <w:r>
        <w:rPr>
          <w:szCs w:val="27"/>
        </w:rPr>
        <w:t xml:space="preserve"> (1964) 61 Cal.2d 137, 153 (</w:t>
      </w:r>
      <w:r>
        <w:rPr>
          <w:i/>
          <w:iCs/>
          <w:szCs w:val="27"/>
        </w:rPr>
        <w:t>Terry</w:t>
      </w:r>
      <w:r>
        <w:rPr>
          <w:szCs w:val="27"/>
        </w:rPr>
        <w:t xml:space="preserve">).) </w:t>
      </w:r>
    </w:p>
    <w:p w:rsidR="00737791" w:rsidP="00737791">
      <w:pPr>
        <w:pStyle w:val="BodyText"/>
        <w:ind w:firstLine="720"/>
        <w:rPr>
          <w:szCs w:val="27"/>
        </w:rPr>
      </w:pPr>
      <w:r>
        <w:rPr>
          <w:szCs w:val="27"/>
        </w:rPr>
        <w:t>Mataele weighed 300 to 350 pounds at the time of the shooting.  Eyewitness Matthew Towne would have described the shooter to the jury as a male wearing a cap who “definitely had a thin build” and was around 160 to 170 pounds, “definitely not anywhere near 300 pounds.”  Ryan Carrillo, who accepted a six-year plea deal to testify against Mataele, and whom the defense argued was the actual shooter, weighed 145 pounds and admitted to wearing a cap the night of the shooting.</w:t>
      </w:r>
    </w:p>
    <w:p w:rsidR="00737791" w:rsidP="00737791">
      <w:pPr>
        <w:pStyle w:val="BodyText"/>
        <w:ind w:firstLine="720"/>
        <w:rPr>
          <w:szCs w:val="27"/>
        </w:rPr>
      </w:pPr>
      <w:r>
        <w:rPr>
          <w:szCs w:val="27"/>
        </w:rPr>
        <w:t>The prosecution’s case against Mataele rested on Carrillo’s immunized testimony and John Masubayashi’s limited view of the shooter’s forearm.  Towne’s testimony would have matched the description provided by another eyewitness, John Fowler, who described the shooter as a man half the size of Mataele.  In my view, “there is a reasonable possibility” that Towne’s testimony would have been sufficient to create a lingering doubt about the shooter’s identity and thereby cause one or more jurors to select a different penalty.  (</w:t>
      </w:r>
      <w:r>
        <w:rPr>
          <w:i/>
          <w:iCs/>
          <w:szCs w:val="27"/>
        </w:rPr>
        <w:t>People v. Gay</w:t>
      </w:r>
      <w:r>
        <w:rPr>
          <w:szCs w:val="27"/>
        </w:rPr>
        <w:t xml:space="preserve"> (2008) 42 Cal.4th 1195, 1227 (</w:t>
      </w:r>
      <w:r>
        <w:rPr>
          <w:i/>
          <w:iCs/>
          <w:szCs w:val="27"/>
        </w:rPr>
        <w:t>Gay</w:t>
      </w:r>
      <w:r>
        <w:rPr>
          <w:szCs w:val="27"/>
        </w:rPr>
        <w:t xml:space="preserve">).)  Under the applicable standard of review, the death verdict cannot stand.  </w:t>
      </w:r>
    </w:p>
    <w:p w:rsidR="00737791" w:rsidP="00737791">
      <w:pPr>
        <w:pStyle w:val="BodyText"/>
        <w:ind w:firstLine="720"/>
        <w:rPr>
          <w:szCs w:val="27"/>
        </w:rPr>
      </w:pPr>
      <w:r>
        <w:rPr>
          <w:szCs w:val="27"/>
        </w:rPr>
        <w:t>A penalty phase error requires reversal if “ ‘there is a reasonable possibility such an error affected a verdict.’ ”  (</w:t>
      </w:r>
      <w:r>
        <w:rPr>
          <w:i/>
          <w:iCs/>
          <w:szCs w:val="27"/>
        </w:rPr>
        <w:t>People v. Nelson</w:t>
      </w:r>
      <w:r>
        <w:rPr>
          <w:szCs w:val="27"/>
        </w:rPr>
        <w:t xml:space="preserve"> (2011) 51 Cal.4th 198, 218, fn. 15, italics omitted.)  This standard “ ‘is the same, in substance and effect, as the harmless beyond a reasonable doubt standard of </w:t>
      </w:r>
      <w:r>
        <w:rPr>
          <w:i/>
          <w:iCs/>
          <w:szCs w:val="27"/>
        </w:rPr>
        <w:t>Chapman v. California</w:t>
      </w:r>
      <w:r>
        <w:rPr>
          <w:szCs w:val="27"/>
        </w:rPr>
        <w:t> (1967) 386 U.S. 18, 24.’ ”  (</w:t>
      </w:r>
      <w:r>
        <w:rPr>
          <w:i/>
          <w:iCs/>
          <w:szCs w:val="27"/>
        </w:rPr>
        <w:t>Ibid.</w:t>
      </w:r>
      <w:r>
        <w:rPr>
          <w:szCs w:val="27"/>
        </w:rPr>
        <w:t>, italics omitted.)  It is not satisfied so long as there is a doubt “based upon ‘reason.’ ”  (</w:t>
      </w:r>
      <w:r>
        <w:rPr>
          <w:i/>
          <w:iCs/>
          <w:szCs w:val="27"/>
        </w:rPr>
        <w:t xml:space="preserve">Jackson v. Virginia </w:t>
      </w:r>
      <w:r>
        <w:rPr>
          <w:szCs w:val="27"/>
        </w:rPr>
        <w:t>(1979) 443 U.S. 307, 317.)  A “reviewing court making this harmless-error inquiry” must not “ ‘become in effect a second jury.’ ”  (</w:t>
      </w:r>
      <w:r>
        <w:rPr>
          <w:i/>
          <w:iCs/>
          <w:szCs w:val="27"/>
        </w:rPr>
        <w:t>Neder v. United States</w:t>
      </w:r>
      <w:r>
        <w:rPr>
          <w:szCs w:val="27"/>
        </w:rPr>
        <w:t xml:space="preserve"> (1999) 527 U.S. 1, 19.)  We ask only whether absence of the error “could rationally lead to a contrary finding.”  (</w:t>
      </w:r>
      <w:r>
        <w:rPr>
          <w:i/>
          <w:iCs/>
          <w:szCs w:val="27"/>
        </w:rPr>
        <w:t>Ibid.</w:t>
      </w:r>
      <w:r>
        <w:rPr>
          <w:szCs w:val="27"/>
        </w:rPr>
        <w:t>)  This stringent standard serves to ensure “ ‘reliability in the determination that death is the appropriate punishment in a specific case.’ ”  (</w:t>
      </w:r>
      <w:r>
        <w:rPr>
          <w:i/>
          <w:iCs/>
          <w:szCs w:val="27"/>
        </w:rPr>
        <w:t>People v. Brown</w:t>
      </w:r>
      <w:r>
        <w:rPr>
          <w:szCs w:val="27"/>
        </w:rPr>
        <w:t xml:space="preserve"> (1988) 46 Cal.3d 432, 448.)  “Anything less [than the </w:t>
      </w:r>
      <w:r>
        <w:rPr>
          <w:i/>
          <w:iCs/>
          <w:szCs w:val="27"/>
        </w:rPr>
        <w:t>Chapman</w:t>
      </w:r>
      <w:r>
        <w:rPr>
          <w:szCs w:val="27"/>
        </w:rPr>
        <w:t xml:space="preserve"> standard]</w:t>
      </w:r>
      <w:r>
        <w:rPr>
          <w:i/>
          <w:iCs/>
          <w:szCs w:val="27"/>
        </w:rPr>
        <w:t xml:space="preserve"> </w:t>
      </w:r>
      <w:r>
        <w:rPr>
          <w:szCs w:val="27"/>
        </w:rPr>
        <w:t>would force a reviewing court to run a constitutionally unacceptable risk of affirming a judgment against a human being for whom death may not be the appropriate penalty.”  (</w:t>
      </w:r>
      <w:r>
        <w:rPr>
          <w:i/>
          <w:iCs/>
          <w:szCs w:val="27"/>
        </w:rPr>
        <w:t xml:space="preserve">Id. </w:t>
      </w:r>
      <w:r>
        <w:rPr>
          <w:szCs w:val="27"/>
        </w:rPr>
        <w:t>at p. 470 (conc. opn. of Mosk, J.).)</w:t>
      </w:r>
    </w:p>
    <w:p w:rsidR="00737791" w:rsidP="00737791">
      <w:pPr>
        <w:pStyle w:val="BodyText"/>
        <w:ind w:firstLine="720"/>
        <w:rPr>
          <w:szCs w:val="27"/>
        </w:rPr>
      </w:pPr>
      <w:r>
        <w:rPr>
          <w:szCs w:val="27"/>
        </w:rPr>
        <w:t xml:space="preserve">Today’s opinion discounts Towne’s testimony because he saw the shooter for only a few seconds across a dark parking lot.  It states that because defense counsel proffered that Towne’s testimony would be “ ‘pretty consistent with Fowler’s testimony . . . ,’ we can also take note that Fowler’s testimony was replete with references to the poorly lit conditions and difficulty in discerning any of the shooter’s distinguishing features, including how big he was.  As Fowler put it, he saw a ‘basic shadow.’ ”  (Maj. opn., </w:t>
      </w:r>
      <w:r>
        <w:rPr>
          <w:i/>
          <w:iCs/>
          <w:szCs w:val="27"/>
        </w:rPr>
        <w:t>ante</w:t>
      </w:r>
      <w:r>
        <w:rPr>
          <w:szCs w:val="27"/>
        </w:rPr>
        <w:t>, at pp. 67–68.)  But Fowler repeatedly testified that he was “sure” the shooter was not 300 pounds and that the shooter did not approach the size of Mataele.  And, as Towne indicated in a declaration, Towne was prepared to testify that the shooter was a 5’ 8” to 6” tall male who “definitely had a thin build” and “was definitely not anywhere near 300 pounds.”</w:t>
      </w:r>
    </w:p>
    <w:p w:rsidR="00737791" w:rsidP="00737791">
      <w:pPr>
        <w:pStyle w:val="BodyText"/>
        <w:ind w:firstLine="720"/>
        <w:rPr>
          <w:szCs w:val="27"/>
        </w:rPr>
      </w:pPr>
      <w:r>
        <w:rPr>
          <w:szCs w:val="27"/>
        </w:rPr>
        <w:t xml:space="preserve">Beyond having obvious “exculpatory value” standing on its own, as the Attorney General’s briefing concedes, Towne’s testimony would have served an important role in relation to the other eyewitness testimony.  The only third party eyewitnesses were Towne, Fowler, and Jose Rodriguez.  At the scene, Rodriguez told police that the shooter was of “medium” build.  At trial, he testified that the shooter was “kind of maybe heavyset” based on the baggy clothes he observed, but that his recollection would have been better at the scene and that if there was a discrepancy, he would go with what he initially told police.  Fowler initially described the shooter as having thin build and wearing a cap.  At trial, he maintained that the shooter had thin-to-medium build and wore a beanie. </w:t>
      </w:r>
    </w:p>
    <w:p w:rsidR="00737791" w:rsidP="00737791">
      <w:pPr>
        <w:pStyle w:val="BodyText"/>
        <w:ind w:firstLine="720"/>
        <w:rPr>
          <w:szCs w:val="27"/>
        </w:rPr>
      </w:pPr>
      <w:r>
        <w:rPr>
          <w:szCs w:val="27"/>
        </w:rPr>
        <w:t>Towne’s testimony that the shooter had thin build would have reinforced Fowler’s testimony and lent credence to Rodriguez’s statements at the scene.  Towne’s testimony would have broken any perceived tie between Rodriguez’s testimony and Fowler’s testimony about the shooter’s size and would have supported Fowler’s testimony that the shooter was wearing a hat (Rodriguez could not recall whether the shooter was wearing a hat).  The fact that each eyewitness observed the shooter in poor lighting conditions made the fact that Towne’s testimony corroborated Fowler’s of even greater value.  The prosecutor recognized the consequential nature of Fowler’s testimony for the defense, emphasizing his cross-examination of Fowler in closing argument.  A second, disinterested eyewitness providing the same description of the shooter in the parking lot inconsistent with Mataele’s physical appearance would have more strongly countered the prosecution’s case than Fowler’s testimony alone.</w:t>
      </w:r>
    </w:p>
    <w:p w:rsidR="00737791" w:rsidP="00737791">
      <w:pPr>
        <w:pStyle w:val="BodyText"/>
        <w:ind w:firstLine="720"/>
        <w:rPr>
          <w:szCs w:val="27"/>
        </w:rPr>
      </w:pPr>
      <w:r>
        <w:rPr>
          <w:szCs w:val="27"/>
        </w:rPr>
        <w:t xml:space="preserve">The court notes that a defense investigator’s affidavit stated that Towne described the shooter to him as Black, “which lined up with Rodriguez’s initial statement to police officers and Fowler’s subsequent interview with defense investigators” and “would have pointed away from Carrillo and toward defendant,” who is Tongan.  (Maj. opn., </w:t>
      </w:r>
      <w:r>
        <w:rPr>
          <w:i/>
          <w:iCs/>
          <w:szCs w:val="27"/>
        </w:rPr>
        <w:t>ante</w:t>
      </w:r>
      <w:r>
        <w:rPr>
          <w:szCs w:val="27"/>
        </w:rPr>
        <w:t>, at p. 68.)</w:t>
      </w:r>
      <w:r>
        <w:rPr>
          <w:i/>
          <w:iCs/>
          <w:szCs w:val="27"/>
        </w:rPr>
        <w:t xml:space="preserve">  </w:t>
      </w:r>
      <w:r>
        <w:rPr>
          <w:szCs w:val="27"/>
        </w:rPr>
        <w:t>But Towne’s affidavit makes no mention of the shooter’s race, and despite what the court “assume[s]” (</w:t>
      </w:r>
      <w:r>
        <w:rPr>
          <w:i/>
          <w:iCs/>
          <w:szCs w:val="27"/>
        </w:rPr>
        <w:t>id.</w:t>
      </w:r>
      <w:r>
        <w:rPr>
          <w:szCs w:val="27"/>
        </w:rPr>
        <w:t xml:space="preserve"> at p. 67), we do not know what Towne would have said on this point if he had testified.  It does not appear Towne identified the shooter’s race at the scene.  Nor did Fowler, who testified at trial that he could not determine the race of the person and had mistakenly told a defense investigator years later that the shooter was African American because he “assumed that person to be” based on the person’s “silhouette . . . , the way the person was walking holding the gun.”  Rodriguez testified that while he described the shooter as Black at the scene, he could not tell what ethnicity the shooter was, see the shooter’s face, or recall why he thought the person was Black.  In sum, it is unlikely that whatever testimony Towne might have offered about the shooter’s race would have appreciably diminished the significance of his testimony, corroborating Fowler’s, about the shooter’s size as a basis for lingering doubt.</w:t>
      </w:r>
    </w:p>
    <w:p w:rsidR="00737791" w:rsidP="00737791">
      <w:pPr>
        <w:pStyle w:val="BodyText"/>
        <w:keepNext/>
        <w:widowControl w:val="0"/>
        <w:ind w:firstLine="720"/>
        <w:rPr>
          <w:szCs w:val="27"/>
        </w:rPr>
      </w:pPr>
      <w:r>
        <w:rPr>
          <w:szCs w:val="27"/>
        </w:rPr>
        <w:t xml:space="preserve">Today’s opinion says Towne’s testimony would have “pale[d] in comparison to the evidence at the guilt phase . . . establishing defendant’s guilt.”  (Maj. opn., </w:t>
      </w:r>
      <w:r>
        <w:rPr>
          <w:i/>
          <w:iCs/>
          <w:szCs w:val="27"/>
        </w:rPr>
        <w:t>ante</w:t>
      </w:r>
      <w:r>
        <w:rPr>
          <w:szCs w:val="27"/>
        </w:rPr>
        <w:t>, at p. 68.)  However, a jury “may properly conclude that the prosecution has discharged its burden of proving defendant’s guilt beyond a reasonable doubt but . . . may still demand a greater degree of certainty of guilt for the imposition of the death penalty.”  (</w:t>
      </w:r>
      <w:r>
        <w:rPr>
          <w:i/>
          <w:iCs/>
          <w:szCs w:val="27"/>
        </w:rPr>
        <w:t>Terry</w:t>
      </w:r>
      <w:r>
        <w:rPr>
          <w:szCs w:val="27"/>
        </w:rPr>
        <w:t xml:space="preserve">, </w:t>
      </w:r>
      <w:r>
        <w:rPr>
          <w:i/>
          <w:iCs/>
          <w:szCs w:val="27"/>
        </w:rPr>
        <w:t>supra</w:t>
      </w:r>
      <w:r>
        <w:rPr>
          <w:szCs w:val="27"/>
        </w:rPr>
        <w:t>,</w:t>
      </w:r>
      <w:r>
        <w:rPr>
          <w:i/>
          <w:iCs/>
          <w:szCs w:val="27"/>
        </w:rPr>
        <w:t xml:space="preserve"> </w:t>
      </w:r>
      <w:r>
        <w:rPr>
          <w:szCs w:val="27"/>
        </w:rPr>
        <w:t>61 Cal.2d at pp. 145–146.)  The question is whether it is within reason that Towne’s testimony may have prevented “absolute certainty” in the mind of one or more jurors and thereby “mitigate[d] against imposing the death penalty.”  (</w:t>
      </w:r>
      <w:r>
        <w:rPr>
          <w:i/>
          <w:iCs/>
          <w:szCs w:val="27"/>
        </w:rPr>
        <w:t>Gonzalez v. Wong</w:t>
      </w:r>
      <w:r>
        <w:rPr>
          <w:szCs w:val="27"/>
        </w:rPr>
        <w:t xml:space="preserve"> (9th Cir. 2011) 667 F.3d 965, 993.)  A juror entertaining “doubt, however slight” (</w:t>
      </w:r>
      <w:r>
        <w:rPr>
          <w:i/>
          <w:iCs/>
          <w:szCs w:val="27"/>
        </w:rPr>
        <w:t>People v. Hamilton</w:t>
      </w:r>
      <w:r>
        <w:rPr>
          <w:szCs w:val="27"/>
        </w:rPr>
        <w:t xml:space="preserve"> (2009) 45 Cal.4th 863, 950), “which does not rise to reasonable doubt[,] can be expected to resist those who would impose the irremedial penalty of death” (</w:t>
      </w:r>
      <w:r>
        <w:rPr>
          <w:i/>
          <w:iCs/>
          <w:szCs w:val="27"/>
        </w:rPr>
        <w:t>Smith v. Balkcom</w:t>
      </w:r>
      <w:r>
        <w:rPr>
          <w:szCs w:val="27"/>
        </w:rPr>
        <w:t xml:space="preserve"> (5th Cir. 1981) 660 F.2d 573, 581).</w:t>
      </w:r>
    </w:p>
    <w:p w:rsidR="00737791" w:rsidP="00737791">
      <w:pPr>
        <w:pStyle w:val="BodyText"/>
        <w:ind w:firstLine="720"/>
        <w:rPr>
          <w:szCs w:val="27"/>
        </w:rPr>
      </w:pPr>
      <w:r>
        <w:rPr>
          <w:szCs w:val="27"/>
        </w:rPr>
        <w:t>As noted, the prosecution’s case at the guilt phase focused on the testimony of Carrillo and Masubayashi.  Although the jury may have found their testimony credible beyond a reasonable doubt, their testimony was hardly so compelling as to foreclose any possible doubt about Mataele’s role.</w:t>
      </w:r>
    </w:p>
    <w:p w:rsidR="00737791" w:rsidP="00737791">
      <w:pPr>
        <w:pStyle w:val="BodyText"/>
        <w:ind w:firstLine="720"/>
        <w:rPr>
          <w:szCs w:val="27"/>
        </w:rPr>
      </w:pPr>
      <w:r>
        <w:rPr>
          <w:szCs w:val="27"/>
        </w:rPr>
        <w:t>Carrillo, who faced special circumstance murder charges, gave an immunized statement about his involvement in the crime, naming Mataele as the shooter.  He then pled guilty to reduced charges and a six-year sentence.  Carrillo testified he would have done anything to get out of jail at the time of his statement, and the jury was instructed to view his testimony with caution.  Fowler’s eyewitness testimony described a shooter half the size of Mataele and wearing a cap, as Carrillo was wearing that night.  And Shawn Monroe testified that Carrillo asked him for help finding someone to provide fake identification documents because “[Carrillo] said he just shot some fools out in Orange County” and “need[ed] to leave town.”  Mataele testified that Carrillo was the shooter, and Allan Quiambao testified Carrillo admitted to the shooting in 2001.</w:t>
      </w:r>
    </w:p>
    <w:p w:rsidR="00737791" w:rsidP="00737791">
      <w:pPr>
        <w:pStyle w:val="BodyText"/>
        <w:ind w:firstLine="720"/>
        <w:rPr>
          <w:szCs w:val="27"/>
        </w:rPr>
      </w:pPr>
      <w:r>
        <w:rPr>
          <w:szCs w:val="27"/>
        </w:rPr>
        <w:t xml:space="preserve">Carrillo’s testimony was also inconsistent with the prosecution’s other evidence on key points.  Carrillo said he was in the car with Masubayashi when Danell Johnson and Masubayashi were shot; Masubayashi said Carrillo got out of the vehicle before any shots were fired.  Carrillo had blood on his clothes, inconsistent with forensic evidence that there was no blood spatter anywhere near where Carrillo alleged to have been sitting at the time of Johnson’s death.  All of the blood inside and outside of the vehicle was to the right of Johnson where the shooter would have stood.  </w:t>
      </w:r>
    </w:p>
    <w:p w:rsidR="00737791" w:rsidP="00737791">
      <w:pPr>
        <w:pStyle w:val="BodyText"/>
        <w:ind w:firstLine="720"/>
        <w:rPr>
          <w:szCs w:val="27"/>
        </w:rPr>
      </w:pPr>
      <w:r>
        <w:rPr>
          <w:szCs w:val="27"/>
        </w:rPr>
        <w:t>Towne, on the other hand, was a disinterested eyewitness whose testimony may have been given more weight than Carrillo’s.  His testimony, combined with Fowler’s, may have further drawn Carrillo’s testimony into doubt.</w:t>
      </w:r>
    </w:p>
    <w:p w:rsidR="00737791" w:rsidP="00737791">
      <w:pPr>
        <w:pStyle w:val="BodyText"/>
        <w:ind w:firstLine="720"/>
        <w:rPr>
          <w:szCs w:val="27"/>
        </w:rPr>
      </w:pPr>
      <w:r>
        <w:rPr>
          <w:szCs w:val="27"/>
        </w:rPr>
        <w:t>As for Masubayashi, he was in the car with Johnson but was not looking in Johnson’s direction when Johnson was shot.  Masubayashi testified that he saw Mataele’s forearm holding a gun pointing into the car after hearing the shot that killed Johnson.  But Masubayashi did not see who was shooting at him as he took off across the parking lot, which is what Towne would have testified to.  At the scene, Masubayashi told an officer who asked who shot him, “ ‘patch me up and I’ll tell you.’ ”  In the hospital, Masubayashi first maintained that he could not identify whether the shooter was Mataele, Carrillo, or someone from the neighboring car; he said he “d[id not] know who” shot him “because [he] c[ouldn’t] even see.”  Nor could Masubayashi identify the gun when he was first interviewed.  He thought the shooter was Mataele because Mataele had a gun earlier that evening, and a week after the shooting, Masubayashi continued to name Mataele as the shooter.  But he indicated he was still not sure because he could not see the shooter’s face and the events occurred too quickly.</w:t>
      </w:r>
    </w:p>
    <w:p w:rsidR="00737791" w:rsidP="00737791">
      <w:pPr>
        <w:pStyle w:val="BodyText"/>
        <w:ind w:firstLine="720"/>
        <w:rPr>
          <w:szCs w:val="27"/>
        </w:rPr>
      </w:pPr>
      <w:r>
        <w:rPr>
          <w:szCs w:val="27"/>
        </w:rPr>
        <w:t>In these circumstances, it seems quite plausible that the jury could have credited aspects of Carrillo’s and Masubayashi’s testimony while still harboring some doubt about Mataele’s role.  Further, although the jury could have understood aspects of Quiambao’s and Sia Her’s testimony to suggest that Mataele was the shooter, their testimony was also not inconsistent with the defense’s theory that while Mataele was present and carried a gun earlier that evening, Carrillo was the shooter.  The jury requested readbacks of Quiambao’s, Masubayashi’s, Carrillo’s, and Her’s testimony, indicating they were “focused on defendant’s role in the murder” and did not view this as an airtight case.  (</w:t>
      </w:r>
      <w:r>
        <w:rPr>
          <w:i/>
          <w:iCs/>
          <w:szCs w:val="27"/>
        </w:rPr>
        <w:t>Gay</w:t>
      </w:r>
      <w:r>
        <w:rPr>
          <w:szCs w:val="27"/>
        </w:rPr>
        <w:t xml:space="preserve">, </w:t>
      </w:r>
      <w:r>
        <w:rPr>
          <w:i/>
          <w:iCs/>
          <w:szCs w:val="27"/>
        </w:rPr>
        <w:t>supra</w:t>
      </w:r>
      <w:r>
        <w:rPr>
          <w:szCs w:val="27"/>
        </w:rPr>
        <w:t>, 42 Cal.4th at p. 1227.)  The prosecutor’s argument in the penalty phase focused in large part on the circumstances of the crime, describing it as a “cold-blooded,” “calculated murder” that warranted a death verdict.  Admitting Towne’s testimony at the penalty phase would have appreciably weakened the case in aggravation.  In sum, although there was sufficient evidence for the jury to conclude beyond a reasonable doubt that Mataele was the shooter, there is a reasonable possibility that had Towne’s testimony been admitted, at least one juror would have “demand[ed] a greater degree of certainty of guilt for the imposition of the death penalty.”  (</w:t>
      </w:r>
      <w:r>
        <w:rPr>
          <w:i/>
          <w:iCs/>
          <w:szCs w:val="27"/>
        </w:rPr>
        <w:t>Terry</w:t>
      </w:r>
      <w:r>
        <w:rPr>
          <w:szCs w:val="27"/>
        </w:rPr>
        <w:t xml:space="preserve">, </w:t>
      </w:r>
      <w:r>
        <w:rPr>
          <w:i/>
          <w:iCs/>
          <w:szCs w:val="27"/>
        </w:rPr>
        <w:t>supra</w:t>
      </w:r>
      <w:r>
        <w:rPr>
          <w:szCs w:val="27"/>
        </w:rPr>
        <w:t>,</w:t>
      </w:r>
      <w:r>
        <w:rPr>
          <w:i/>
          <w:iCs/>
          <w:szCs w:val="27"/>
        </w:rPr>
        <w:t xml:space="preserve"> </w:t>
      </w:r>
      <w:r>
        <w:rPr>
          <w:szCs w:val="27"/>
        </w:rPr>
        <w:t>61 Cal.2d at pp. 145–146.)</w:t>
      </w:r>
    </w:p>
    <w:p w:rsidR="00737791" w:rsidP="00737791">
      <w:pPr>
        <w:pStyle w:val="BodyText"/>
        <w:ind w:firstLine="720"/>
        <w:rPr>
          <w:szCs w:val="27"/>
        </w:rPr>
      </w:pPr>
      <w:r>
        <w:rPr>
          <w:szCs w:val="27"/>
        </w:rPr>
        <w:t>Today’s opinion also relies on the prosecution’s other penalty phase evidence in finding the error harmless, but the evidence was hardly overwhelming.  The prosecutor presented victim impact testimony from two of Johnson’s cousins and Sia Her, who was Johnson’s girlfriend at the time of the shooting.  The prosecution also introduced evidence of three prior incidents that were not especially aggravated; indeed, the prosecutor told the jury in his penalty phase opening statement that these “may not be the most violent crimes you’ve heard about in your whole life.”  First, Deputy Sheriff Claude Waddle testified that Mataele, at age 13, admitted to exposing himself to and touching two classmates on the breast and buttocks.  One of the victims testified that she “vaguely remember[ed]” Mataele exposing himself to her and did not remember him ever touching her.  Second, Thomas Kinsey testified that when Mataele was 17 years old, four individuals confronted him (Kinsey) for his briefcase and asked him for money.  Officer David Dooros testified that he observed Mataele push Kinsey and draw back his arm as if to punch Kinsey.  Dooros broke up the scene and Kinsey was unharmed.  Third, John Hagen testified that when Mataele was 19 years old, Mataele put a gun to his (Hagen’s) head and took his wallet.  Mataele pled to five years for armed robbery.</w:t>
      </w:r>
    </w:p>
    <w:p w:rsidR="00737791" w:rsidP="00737791">
      <w:pPr>
        <w:pStyle w:val="BodyText"/>
        <w:ind w:firstLine="720"/>
        <w:rPr>
          <w:szCs w:val="27"/>
        </w:rPr>
      </w:pPr>
      <w:r>
        <w:rPr>
          <w:szCs w:val="27"/>
        </w:rPr>
        <w:t>In total, the prosecution’s penalty phase case-in-chief was comprised of eight witnesses, lasted less than a day, and took up fewer than 70 pages of the reporter’s transcript.  There was no rebuttal.</w:t>
      </w:r>
    </w:p>
    <w:p w:rsidR="00737791" w:rsidP="00737791">
      <w:pPr>
        <w:pStyle w:val="BodyText"/>
        <w:ind w:firstLine="720"/>
        <w:rPr>
          <w:szCs w:val="27"/>
        </w:rPr>
      </w:pPr>
      <w:r>
        <w:rPr>
          <w:szCs w:val="27"/>
        </w:rPr>
        <w:t>The defense’s case in mitigation, by contrast, lasted seven days and included 32 witnesses.  Numerous witnesses described generational violence, poor supervision and discipline, and Mataele’s father’s alcohol abuse.  Relatives described how Mataele and his mother were brutally beaten by his father for decades.  Mataele tried to protect his mother and younger siblings from their father.  Mataele also supported the family financially at times and helped care for a disabled family member, Cece, whom he loved like a daughter.  In addition, family members, friends, teachers, and coaches described Mataele as smart, loving, artistic, respectful, and kind.  Mataele organized weekly “family home meetings” to encourage the kids in the family to go to school and other family members to get a job, help one another, and stay out of trouble.  Thirty to fifty family members would attend each week, and Mataele led the meetings.  Witnesses described how Mataele’s advice led them to positive lifestyle changes.  Further, medical and correctional experts described Mataele’s intelligence and ability to benefit from educational opportunities; reviewed his confinement records and reported no incidents involving drugs, weapons, or gang activity; and testified that Mataele would be a “good candidate to lead a productive, nonviolent life in prison.”  The trial court said it thought defense counsel was doing “a marvelous job in presenting a different picture of Mr. Mataele to this jury” and in bringing evidence “in front of the jury regarding a defendant’s other personality . . . than . . . a coldblooded killer.”</w:t>
      </w:r>
    </w:p>
    <w:p w:rsidR="00737791" w:rsidP="00737791">
      <w:pPr>
        <w:pStyle w:val="BodyText"/>
        <w:ind w:firstLine="720"/>
        <w:rPr>
          <w:szCs w:val="27"/>
        </w:rPr>
      </w:pPr>
      <w:r>
        <w:rPr>
          <w:szCs w:val="27"/>
        </w:rPr>
        <w:t>The penalty trial in this case was not an instance where the totality of the evidence portrayed the defendant as irredeemably depraved or dangerous.  The jury was ultimately unpersuaded by the defense evidence of Mataele’s background and character.  But Towne’s testimony would not have been cumulative of such evidence.  Instead, it would have responded directly to the prosecution’s reliance on the brutality of the murder by sowing doubt about Mataele’s role.  If Towne had been allowed to testify at the penalty phase, it is reasonably possible that one or more jurors would have refrained from voting for death because of lingering doubt as to whether Mataele was the shooter, among other mitigating factors.</w:t>
      </w:r>
    </w:p>
    <w:p w:rsidR="00737791" w:rsidP="00737791">
      <w:pPr>
        <w:pStyle w:val="BodyText"/>
        <w:ind w:firstLine="720"/>
        <w:rPr>
          <w:szCs w:val="27"/>
        </w:rPr>
      </w:pPr>
      <w:r>
        <w:rPr>
          <w:szCs w:val="27"/>
        </w:rPr>
        <w:t xml:space="preserve">The court considers it “significant[]” that the defense’s penalty phase argument focused “not on lingering doubt, but on defendant’s family history, background and character, brain activity, and adjustment to prison as factors in mitigation.”  (Maj. opn., </w:t>
      </w:r>
      <w:r>
        <w:rPr>
          <w:i/>
          <w:iCs/>
          <w:szCs w:val="27"/>
        </w:rPr>
        <w:t>ante</w:t>
      </w:r>
      <w:r>
        <w:rPr>
          <w:szCs w:val="27"/>
        </w:rPr>
        <w:t>, at p. 69.)  It contends that “defense counsel’s failure to raise the issue even given Fowler’s admitted testimony — which was essentially the same as Towne’s excluded testimony — serves to further underscore the inconsequential nature of the error.”  (</w:t>
      </w:r>
      <w:r>
        <w:rPr>
          <w:i/>
          <w:iCs/>
          <w:szCs w:val="27"/>
        </w:rPr>
        <w:t>Id.</w:t>
      </w:r>
      <w:r>
        <w:rPr>
          <w:szCs w:val="27"/>
        </w:rPr>
        <w:t xml:space="preserve"> at p. 70.)  But it should come as no surprise that the defense did not make a lengthier lingering doubt argument when it was prohibited from presenting the most persuasive evidence it had of Mataele’s innocence.  As noted, Fowler’s testimony on its own was of less persuasive value than Towne’s testimony and Fowler’s testimony would have been combined.  Defense counsel plainly would have made more of lingering doubt had Towne’s testimony been admitted.  Indeed, in objecting to the prosecutor questioning Mataele about the shooting during Mataele’s penalty phase testimony, defense counsel said, “We’re not here to relitigate the whole guilt phase all over again. . . .  If I wanted to relitigate some stuff, which I couldn’t because I couldn’t even put Towne on, well, then maybe it’s a different story.  I’d be reopening it.  But I intentionally stayed away from relitigating the guilt issues part because I couldn’t even present Mr. Towne to establish some sort of lingering doubt.”</w:t>
      </w:r>
    </w:p>
    <w:p w:rsidR="00737791" w:rsidP="00737791">
      <w:pPr>
        <w:pStyle w:val="BodyText"/>
        <w:ind w:firstLine="720"/>
        <w:rPr>
          <w:szCs w:val="27"/>
        </w:rPr>
      </w:pPr>
      <w:r>
        <w:rPr>
          <w:szCs w:val="27"/>
        </w:rPr>
        <w:t>Even so, defense counsel did</w:t>
      </w:r>
      <w:r>
        <w:rPr>
          <w:i/>
          <w:iCs/>
          <w:szCs w:val="27"/>
        </w:rPr>
        <w:t xml:space="preserve"> </w:t>
      </w:r>
      <w:r>
        <w:rPr>
          <w:szCs w:val="27"/>
        </w:rPr>
        <w:t xml:space="preserve">argue lingering doubt at some length during his penalty phase closing argument.  He also continued to urge the jury to question the credibility of Masubayashi and Carrillo, noting they were the “cornerstone” and “foundation” of the prosecution’s case.  And he reminded the jury that “just because we didn’t repeat it during the penalty phase doesn’t mean you are precluded from considering it during this second phase.”  It is clear that defense counsel wanted the jury to continue to consider evidence that Mataele was not the shooter.  On this record, I see no basis for concluding that “defense counsel’s failure to raise the issue . . . serves to further underscore the inconsequential nature of the error.”  (Maj. opn., </w:t>
      </w:r>
      <w:r>
        <w:rPr>
          <w:i/>
          <w:iCs/>
          <w:szCs w:val="27"/>
        </w:rPr>
        <w:t>ante</w:t>
      </w:r>
      <w:r>
        <w:rPr>
          <w:szCs w:val="27"/>
        </w:rPr>
        <w:t>, at p. 70.)</w:t>
      </w:r>
    </w:p>
    <w:p w:rsidR="00737791" w:rsidP="00737791">
      <w:pPr>
        <w:pStyle w:val="BodyText"/>
        <w:ind w:firstLine="720"/>
        <w:rPr>
          <w:szCs w:val="27"/>
        </w:rPr>
      </w:pPr>
      <w:r>
        <w:rPr>
          <w:szCs w:val="27"/>
        </w:rPr>
        <w:t>Finally, the trial court’s instruction on lingering doubt does not tend to show that the exclusion of Towne’s testimony was harmless.  If anything, the fact that the prosecution did not oppose the instruction and the trial court agreed to issue it, despite recognizing its discretion not to do so, confirms that the defense theory of lingering doubt was in play.  Because the exclusion of Towne’s testimony reduced the value of the requested instruction to the defense, I cannot conclude that the error was harmless.</w:t>
      </w:r>
    </w:p>
    <w:p w:rsidR="00737791" w:rsidP="00737791">
      <w:pPr>
        <w:pStyle w:val="BodyText"/>
        <w:ind w:firstLine="720"/>
        <w:rPr>
          <w:szCs w:val="27"/>
        </w:rPr>
      </w:pPr>
      <w:r>
        <w:rPr>
          <w:szCs w:val="27"/>
        </w:rPr>
        <w:t>The standard of review here bears emphasis:  The erroneous exclusion of Towne’s testimony can be found harmless only if there is no reasonable possibility that absent the error, the balance of aggravating and mitigating factors, including lingering doubt, would have led one or more jurors to vote for life imprisonment without parole instead of death.  Although my colleagues are confident there is no such possibility, I am not.  Given the circumstances of this capital sentencing trial, it is hard to think of evidence more potentially consequential than eyewitness testimony identifying someone other than the defendant as the actual killer.  It is reasonably possible that one or more jurors would not have been certain beyond all possible doubt that Mataele was the shooter and, on that basis, would have refrained from voting for death.  Accordingly, I respectfully dissent from the penalty judgment while joining today’s opinion affirming Mataele’s convictions.</w:t>
      </w:r>
    </w:p>
    <w:p w:rsidR="00737791" w:rsidP="00737791">
      <w:pPr>
        <w:keepNext/>
        <w:ind w:left="3600" w:firstLine="720"/>
        <w:rPr>
          <w:b/>
          <w:szCs w:val="27"/>
        </w:rPr>
      </w:pPr>
      <w:r>
        <w:rPr>
          <w:b/>
          <w:szCs w:val="27"/>
        </w:rPr>
        <w:t>LIU, J.</w:t>
      </w:r>
    </w:p>
    <w:p w:rsidR="00737791" w:rsidP="00737791"/>
    <w:p w:rsidR="00737791" w:rsidP="00737791"/>
    <w:p w:rsidR="00737791" w:rsidP="00737791">
      <w:pPr>
        <w:rPr>
          <w:b/>
        </w:rPr>
      </w:pPr>
      <w:r>
        <w:rPr>
          <w:b/>
        </w:rPr>
        <w:t>I Concur:</w:t>
      </w:r>
    </w:p>
    <w:p w:rsidR="00737791" w:rsidP="00737791">
      <w:pPr>
        <w:spacing w:after="0" w:line="240" w:lineRule="auto"/>
        <w:rPr>
          <w:b/>
          <w:lang w:val="it-IT"/>
        </w:rPr>
      </w:pPr>
      <w:r>
        <w:rPr>
          <w:b/>
          <w:lang w:val="it-IT"/>
        </w:rPr>
        <w:t>KRUGER, J.</w:t>
      </w:r>
    </w:p>
    <w:p w:rsidR="00737791" w:rsidP="00737791">
      <w:pPr>
        <w:keepNext/>
        <w:ind w:left="3600" w:firstLine="720"/>
        <w:rPr>
          <w:szCs w:val="27"/>
        </w:rPr>
      </w:pPr>
    </w:p>
    <w:p w:rsidR="00737791" w:rsidP="00737791">
      <w:pPr>
        <w:keepNext/>
        <w:rPr>
          <w:b/>
          <w:szCs w:val="27"/>
        </w:rPr>
      </w:pPr>
    </w:p>
    <w:p w:rsidR="004D65C4" w:rsidP="00F91951">
      <w:pPr>
        <w:tabs>
          <w:tab w:val="left" w:pos="1440"/>
        </w:tabs>
        <w:spacing w:line="480" w:lineRule="atLeast"/>
        <w:rPr>
          <w:b/>
        </w:rPr>
        <w:sectPr w:rsidSect="0052255D">
          <w:headerReference w:type="default" r:id="rId13"/>
          <w:pgSz w:w="12240" w:h="15840"/>
          <w:pgMar w:top="1800" w:right="2160" w:bottom="1440" w:left="2160" w:header="720" w:footer="720" w:gutter="0"/>
          <w:pgNumType w:start="1"/>
          <w:cols w:space="720"/>
          <w:titlePg/>
          <w:docGrid w:linePitch="367"/>
        </w:sectPr>
      </w:pPr>
    </w:p>
    <w:p w:rsidR="00476511" w:rsidRPr="00476511" w:rsidP="00476511">
      <w:pPr>
        <w:spacing w:after="0" w:line="240" w:lineRule="auto"/>
        <w:jc w:val="left"/>
        <w:rPr>
          <w:i/>
          <w:sz w:val="24"/>
          <w:szCs w:val="24"/>
        </w:rPr>
      </w:pPr>
      <w:bookmarkStart w:id="39" w:name="_Hlk89950633"/>
      <w:r w:rsidRPr="00476511">
        <w:rPr>
          <w:i/>
          <w:sz w:val="24"/>
          <w:szCs w:val="24"/>
        </w:rPr>
        <w:t>See next page for addresses and telephone numbers for counsel who argued in Supreme Court.</w:t>
      </w:r>
    </w:p>
    <w:p w:rsidR="00476511" w:rsidRPr="00476511" w:rsidP="00476511">
      <w:pPr>
        <w:spacing w:after="0" w:line="240" w:lineRule="auto"/>
        <w:jc w:val="left"/>
        <w:rPr>
          <w:i/>
          <w:sz w:val="24"/>
          <w:szCs w:val="24"/>
        </w:rPr>
      </w:pPr>
    </w:p>
    <w:p w:rsidR="00476511" w:rsidRPr="00476511" w:rsidP="00476511">
      <w:pPr>
        <w:spacing w:after="0" w:line="240" w:lineRule="auto"/>
        <w:jc w:val="left"/>
        <w:rPr>
          <w:bCs/>
          <w:sz w:val="24"/>
          <w:szCs w:val="24"/>
        </w:rPr>
      </w:pPr>
      <w:r w:rsidRPr="00476511">
        <w:rPr>
          <w:b/>
          <w:sz w:val="24"/>
          <w:szCs w:val="24"/>
        </w:rPr>
        <w:t xml:space="preserve">Name of Opinion  </w:t>
      </w:r>
      <w:r w:rsidRPr="00476511">
        <w:rPr>
          <w:bCs/>
          <w:sz w:val="24"/>
          <w:szCs w:val="24"/>
        </w:rPr>
        <w:t>People v. Mataele</w:t>
      </w:r>
    </w:p>
    <w:p w:rsidR="00476511" w:rsidRPr="00476511" w:rsidP="00476511">
      <w:pPr>
        <w:spacing w:after="0" w:line="240" w:lineRule="auto"/>
        <w:jc w:val="left"/>
        <w:rPr>
          <w:b/>
          <w:sz w:val="24"/>
          <w:szCs w:val="24"/>
        </w:rPr>
      </w:pPr>
      <w:r w:rsidRPr="00476511">
        <w:rPr>
          <w:b/>
          <w:sz w:val="24"/>
          <w:szCs w:val="24"/>
        </w:rPr>
        <w:t xml:space="preserve">__________________________________________________________ </w:t>
      </w:r>
    </w:p>
    <w:p w:rsidR="00476511" w:rsidRPr="00476511" w:rsidP="00476511">
      <w:pPr>
        <w:spacing w:after="0" w:line="240" w:lineRule="auto"/>
        <w:jc w:val="left"/>
        <w:rPr>
          <w:b/>
          <w:sz w:val="24"/>
          <w:szCs w:val="24"/>
        </w:rPr>
      </w:pPr>
    </w:p>
    <w:p w:rsidR="00476511" w:rsidRPr="00476511" w:rsidP="00476511">
      <w:pPr>
        <w:spacing w:after="0" w:line="240" w:lineRule="auto"/>
        <w:jc w:val="left"/>
        <w:rPr>
          <w:sz w:val="24"/>
          <w:szCs w:val="24"/>
        </w:rPr>
      </w:pPr>
      <w:r w:rsidRPr="00476511">
        <w:rPr>
          <w:b/>
          <w:bCs/>
          <w:sz w:val="24"/>
          <w:szCs w:val="24"/>
          <w:u w:val="single"/>
        </w:rPr>
        <w:t>Procedural Posture</w:t>
      </w:r>
      <w:r w:rsidRPr="00476511">
        <w:rPr>
          <w:b/>
          <w:bCs/>
          <w:sz w:val="24"/>
          <w:szCs w:val="24"/>
        </w:rPr>
        <w:t xml:space="preserve"> </w:t>
      </w:r>
      <w:r w:rsidRPr="00476511">
        <w:rPr>
          <w:sz w:val="24"/>
          <w:szCs w:val="24"/>
        </w:rPr>
        <w:t>(see XX below)</w:t>
      </w:r>
    </w:p>
    <w:p w:rsidR="00476511" w:rsidRPr="00476511" w:rsidP="00476511">
      <w:pPr>
        <w:spacing w:after="0" w:line="240" w:lineRule="auto"/>
        <w:jc w:val="left"/>
        <w:rPr>
          <w:sz w:val="24"/>
          <w:szCs w:val="24"/>
        </w:rPr>
      </w:pPr>
      <w:r w:rsidRPr="00476511">
        <w:rPr>
          <w:b/>
          <w:bCs/>
          <w:sz w:val="24"/>
          <w:szCs w:val="24"/>
        </w:rPr>
        <w:t>Original Appeal</w:t>
      </w:r>
      <w:r w:rsidRPr="00476511">
        <w:rPr>
          <w:sz w:val="24"/>
          <w:szCs w:val="24"/>
        </w:rPr>
        <w:t xml:space="preserve"> XX</w:t>
      </w:r>
    </w:p>
    <w:p w:rsidR="00476511" w:rsidRPr="00476511" w:rsidP="00476511">
      <w:pPr>
        <w:spacing w:after="0" w:line="240" w:lineRule="auto"/>
        <w:jc w:val="left"/>
        <w:rPr>
          <w:b/>
          <w:bCs/>
          <w:sz w:val="24"/>
          <w:szCs w:val="24"/>
        </w:rPr>
      </w:pPr>
      <w:r w:rsidRPr="00476511">
        <w:rPr>
          <w:b/>
          <w:bCs/>
          <w:sz w:val="24"/>
          <w:szCs w:val="24"/>
        </w:rPr>
        <w:t>Original Proceeding</w:t>
      </w:r>
    </w:p>
    <w:p w:rsidR="00476511" w:rsidRPr="00476511" w:rsidP="00476511">
      <w:pPr>
        <w:spacing w:after="0" w:line="240" w:lineRule="auto"/>
        <w:jc w:val="left"/>
        <w:rPr>
          <w:sz w:val="24"/>
          <w:szCs w:val="24"/>
        </w:rPr>
      </w:pPr>
      <w:r w:rsidRPr="00476511">
        <w:rPr>
          <w:b/>
          <w:bCs/>
          <w:sz w:val="24"/>
          <w:szCs w:val="24"/>
        </w:rPr>
        <w:t>Review Granted</w:t>
      </w:r>
      <w:r w:rsidRPr="00476511">
        <w:rPr>
          <w:sz w:val="24"/>
          <w:szCs w:val="24"/>
        </w:rPr>
        <w:t xml:space="preserve"> </w:t>
      </w:r>
      <w:r w:rsidRPr="00476511">
        <w:rPr>
          <w:b/>
          <w:bCs/>
          <w:sz w:val="24"/>
          <w:szCs w:val="24"/>
        </w:rPr>
        <w:t xml:space="preserve">(published) </w:t>
      </w:r>
    </w:p>
    <w:p w:rsidR="00476511" w:rsidRPr="00476511" w:rsidP="00476511">
      <w:pPr>
        <w:spacing w:after="0" w:line="240" w:lineRule="auto"/>
        <w:jc w:val="left"/>
        <w:rPr>
          <w:sz w:val="24"/>
          <w:szCs w:val="24"/>
        </w:rPr>
      </w:pPr>
      <w:r w:rsidRPr="00476511">
        <w:rPr>
          <w:b/>
          <w:bCs/>
          <w:sz w:val="24"/>
          <w:szCs w:val="24"/>
        </w:rPr>
        <w:t xml:space="preserve">Review Granted (unpublished) </w:t>
      </w:r>
    </w:p>
    <w:p w:rsidR="00476511" w:rsidRPr="00476511" w:rsidP="00476511">
      <w:pPr>
        <w:spacing w:after="0" w:line="240" w:lineRule="auto"/>
        <w:jc w:val="left"/>
        <w:rPr>
          <w:b/>
          <w:bCs/>
          <w:sz w:val="24"/>
          <w:szCs w:val="24"/>
        </w:rPr>
      </w:pPr>
      <w:r w:rsidRPr="00476511">
        <w:rPr>
          <w:b/>
          <w:bCs/>
          <w:sz w:val="24"/>
          <w:szCs w:val="24"/>
        </w:rPr>
        <w:t>Rehearing Granted</w:t>
      </w:r>
    </w:p>
    <w:p w:rsidR="00476511" w:rsidRPr="00476511" w:rsidP="00476511">
      <w:pPr>
        <w:spacing w:after="0" w:line="240" w:lineRule="auto"/>
        <w:jc w:val="left"/>
        <w:rPr>
          <w:b/>
          <w:sz w:val="24"/>
          <w:szCs w:val="24"/>
        </w:rPr>
      </w:pPr>
    </w:p>
    <w:p w:rsidR="00476511" w:rsidRPr="00476511" w:rsidP="00476511">
      <w:pPr>
        <w:spacing w:after="0" w:line="240" w:lineRule="auto"/>
        <w:jc w:val="left"/>
        <w:rPr>
          <w:b/>
          <w:sz w:val="24"/>
          <w:szCs w:val="24"/>
        </w:rPr>
      </w:pPr>
      <w:r w:rsidRPr="00476511">
        <w:rPr>
          <w:b/>
          <w:sz w:val="24"/>
          <w:szCs w:val="24"/>
        </w:rPr>
        <w:t xml:space="preserve">__________________________________________________________ </w:t>
      </w:r>
    </w:p>
    <w:p w:rsidR="00476511" w:rsidRPr="00476511" w:rsidP="00476511">
      <w:pPr>
        <w:spacing w:after="0" w:line="240" w:lineRule="auto"/>
        <w:jc w:val="left"/>
        <w:rPr>
          <w:b/>
          <w:sz w:val="24"/>
          <w:szCs w:val="24"/>
        </w:rPr>
      </w:pPr>
    </w:p>
    <w:p w:rsidR="00476511" w:rsidRPr="00476511" w:rsidP="00476511">
      <w:pPr>
        <w:spacing w:after="0" w:line="240" w:lineRule="auto"/>
        <w:jc w:val="left"/>
        <w:rPr>
          <w:bCs/>
          <w:sz w:val="24"/>
          <w:szCs w:val="24"/>
        </w:rPr>
      </w:pPr>
      <w:r w:rsidRPr="00476511">
        <w:rPr>
          <w:b/>
          <w:sz w:val="24"/>
          <w:szCs w:val="24"/>
        </w:rPr>
        <w:t>Opinion No.</w:t>
      </w:r>
      <w:r w:rsidRPr="00476511">
        <w:rPr>
          <w:sz w:val="24"/>
          <w:szCs w:val="24"/>
        </w:rPr>
        <w:t xml:space="preserve"> S138052</w:t>
      </w:r>
    </w:p>
    <w:p w:rsidR="00476511" w:rsidRPr="00476511" w:rsidP="00476511">
      <w:pPr>
        <w:spacing w:after="0" w:line="240" w:lineRule="auto"/>
        <w:jc w:val="left"/>
        <w:rPr>
          <w:bCs/>
          <w:sz w:val="24"/>
          <w:szCs w:val="24"/>
        </w:rPr>
      </w:pPr>
      <w:r w:rsidRPr="00476511">
        <w:rPr>
          <w:b/>
          <w:sz w:val="24"/>
          <w:szCs w:val="24"/>
        </w:rPr>
        <w:t>Date Filed:</w:t>
      </w:r>
      <w:r w:rsidRPr="00476511">
        <w:rPr>
          <w:sz w:val="24"/>
          <w:szCs w:val="24"/>
        </w:rPr>
        <w:t xml:space="preserve">  July 21, 2022</w:t>
      </w:r>
    </w:p>
    <w:p w:rsidR="00476511" w:rsidRPr="00476511" w:rsidP="00476511">
      <w:pPr>
        <w:spacing w:after="0" w:line="240" w:lineRule="auto"/>
        <w:jc w:val="left"/>
        <w:rPr>
          <w:b/>
          <w:sz w:val="24"/>
          <w:szCs w:val="24"/>
        </w:rPr>
      </w:pPr>
      <w:r w:rsidRPr="00476511">
        <w:rPr>
          <w:b/>
          <w:sz w:val="24"/>
          <w:szCs w:val="24"/>
        </w:rPr>
        <w:t xml:space="preserve">__________________________________________________________ </w:t>
      </w:r>
    </w:p>
    <w:p w:rsidR="00476511" w:rsidRPr="00476511" w:rsidP="00476511">
      <w:pPr>
        <w:spacing w:after="0" w:line="240" w:lineRule="auto"/>
        <w:jc w:val="left"/>
        <w:rPr>
          <w:b/>
          <w:sz w:val="24"/>
          <w:szCs w:val="24"/>
        </w:rPr>
      </w:pPr>
    </w:p>
    <w:p w:rsidR="00476511" w:rsidRPr="00476511" w:rsidP="00476511">
      <w:pPr>
        <w:spacing w:after="0" w:line="240" w:lineRule="auto"/>
        <w:jc w:val="left"/>
        <w:rPr>
          <w:bCs/>
          <w:sz w:val="24"/>
          <w:szCs w:val="24"/>
        </w:rPr>
      </w:pPr>
      <w:r w:rsidRPr="00476511">
        <w:rPr>
          <w:b/>
          <w:sz w:val="24"/>
          <w:szCs w:val="24"/>
        </w:rPr>
        <w:t xml:space="preserve">Court:  </w:t>
      </w:r>
      <w:r w:rsidRPr="00476511">
        <w:rPr>
          <w:bCs/>
          <w:sz w:val="24"/>
          <w:szCs w:val="24"/>
        </w:rPr>
        <w:t>Superior</w:t>
      </w:r>
    </w:p>
    <w:p w:rsidR="00476511" w:rsidRPr="00476511" w:rsidP="00476511">
      <w:pPr>
        <w:spacing w:after="0" w:line="240" w:lineRule="auto"/>
        <w:jc w:val="left"/>
        <w:rPr>
          <w:bCs/>
          <w:sz w:val="24"/>
          <w:szCs w:val="24"/>
        </w:rPr>
      </w:pPr>
      <w:r w:rsidRPr="00476511">
        <w:rPr>
          <w:b/>
          <w:sz w:val="24"/>
          <w:szCs w:val="24"/>
        </w:rPr>
        <w:t xml:space="preserve">County:  </w:t>
      </w:r>
      <w:r w:rsidRPr="00476511">
        <w:rPr>
          <w:bCs/>
          <w:sz w:val="24"/>
          <w:szCs w:val="24"/>
        </w:rPr>
        <w:t>Orange</w:t>
      </w:r>
    </w:p>
    <w:p w:rsidR="00476511" w:rsidRPr="00476511" w:rsidP="00476511">
      <w:pPr>
        <w:spacing w:after="0" w:line="240" w:lineRule="auto"/>
        <w:ind w:left="720" w:hanging="720"/>
        <w:jc w:val="left"/>
        <w:rPr>
          <w:bCs/>
          <w:sz w:val="24"/>
          <w:szCs w:val="24"/>
        </w:rPr>
      </w:pPr>
      <w:r w:rsidRPr="00476511">
        <w:rPr>
          <w:b/>
          <w:sz w:val="24"/>
          <w:szCs w:val="24"/>
        </w:rPr>
        <w:t xml:space="preserve">Judge:  </w:t>
      </w:r>
      <w:r w:rsidRPr="00476511">
        <w:rPr>
          <w:bCs/>
          <w:sz w:val="24"/>
          <w:szCs w:val="24"/>
        </w:rPr>
        <w:t>James A. Stotler</w:t>
      </w:r>
    </w:p>
    <w:p w:rsidR="00476511" w:rsidRPr="00476511" w:rsidP="00476511">
      <w:pPr>
        <w:spacing w:after="0" w:line="240" w:lineRule="auto"/>
        <w:jc w:val="left"/>
        <w:rPr>
          <w:b/>
          <w:sz w:val="24"/>
          <w:szCs w:val="24"/>
        </w:rPr>
      </w:pPr>
      <w:r w:rsidRPr="00476511">
        <w:rPr>
          <w:b/>
          <w:sz w:val="24"/>
          <w:szCs w:val="24"/>
        </w:rPr>
        <w:t xml:space="preserve">__________________________________________________________  </w:t>
      </w:r>
    </w:p>
    <w:p w:rsidR="00476511" w:rsidRPr="00476511" w:rsidP="00476511">
      <w:pPr>
        <w:spacing w:after="0" w:line="240" w:lineRule="auto"/>
        <w:jc w:val="left"/>
        <w:rPr>
          <w:b/>
          <w:sz w:val="24"/>
          <w:szCs w:val="24"/>
        </w:rPr>
      </w:pPr>
    </w:p>
    <w:p w:rsidR="00476511" w:rsidRPr="00476511" w:rsidP="00476511">
      <w:pPr>
        <w:spacing w:after="0" w:line="240" w:lineRule="auto"/>
        <w:jc w:val="left"/>
        <w:rPr>
          <w:b/>
          <w:sz w:val="24"/>
          <w:szCs w:val="24"/>
        </w:rPr>
      </w:pPr>
      <w:r w:rsidRPr="00476511">
        <w:rPr>
          <w:b/>
          <w:sz w:val="24"/>
          <w:szCs w:val="24"/>
        </w:rPr>
        <w:t>Counsel:</w:t>
      </w:r>
    </w:p>
    <w:p w:rsidR="00476511" w:rsidRPr="00476511" w:rsidP="00476511">
      <w:pPr>
        <w:spacing w:after="0" w:line="240" w:lineRule="auto"/>
        <w:jc w:val="left"/>
        <w:rPr>
          <w:b/>
          <w:sz w:val="24"/>
          <w:szCs w:val="24"/>
        </w:rPr>
      </w:pPr>
    </w:p>
    <w:p w:rsidR="00476511" w:rsidRPr="00476511" w:rsidP="00476511">
      <w:pPr>
        <w:spacing w:after="0" w:line="240" w:lineRule="auto"/>
        <w:jc w:val="left"/>
        <w:rPr>
          <w:sz w:val="24"/>
          <w:szCs w:val="24"/>
        </w:rPr>
      </w:pPr>
      <w:r w:rsidRPr="00476511">
        <w:rPr>
          <w:sz w:val="24"/>
          <w:szCs w:val="24"/>
        </w:rPr>
        <w:t>Stephen M. Lathrop, under appointment by the Supreme Court, for Defendant and Appellant.</w:t>
      </w: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r w:rsidRPr="00476511">
        <w:rPr>
          <w:sz w:val="24"/>
          <w:szCs w:val="24"/>
        </w:rPr>
        <w:t>Kamala D. Harris and Rob Bonta, Attorneys General, Gerald A. Engler and Lance E. Winters, Chief Assistant Attorneys General, Julie L. Garland and James William Bilderback II, Assistant Attorney General, Holly D. Wilkens, Annie Featherman Fraser, Kristen Kinnaird Chenelia and Donald W. Ostertag, Deputy Attorneys General, for Plaintiff and Respondent.</w:t>
      </w: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p>
    <w:p w:rsidR="00476511" w:rsidRPr="00476511" w:rsidP="00476511">
      <w:pPr>
        <w:spacing w:after="0" w:line="240" w:lineRule="auto"/>
        <w:jc w:val="left"/>
        <w:rPr>
          <w:b/>
          <w:sz w:val="24"/>
          <w:szCs w:val="24"/>
        </w:rPr>
      </w:pPr>
      <w:r w:rsidRPr="00476511">
        <w:rPr>
          <w:color w:val="212121"/>
          <w:sz w:val="24"/>
          <w:szCs w:val="24"/>
          <w:shd w:val="clear" w:color="auto" w:fill="FFFFFF"/>
        </w:rPr>
        <w:br w:type="page"/>
      </w:r>
      <w:r w:rsidRPr="00476511">
        <w:rPr>
          <w:b/>
          <w:sz w:val="24"/>
          <w:szCs w:val="24"/>
        </w:rPr>
        <w:t>Counsel who argued in Supreme Court (not intended for publication with opinion):</w:t>
      </w:r>
    </w:p>
    <w:p w:rsidR="00476511" w:rsidRPr="00476511" w:rsidP="00476511">
      <w:pPr>
        <w:spacing w:after="0" w:line="240" w:lineRule="auto"/>
        <w:jc w:val="left"/>
        <w:rPr>
          <w:b/>
          <w:sz w:val="24"/>
          <w:szCs w:val="24"/>
        </w:rPr>
      </w:pPr>
    </w:p>
    <w:p w:rsidR="00476511" w:rsidRPr="00476511" w:rsidP="00476511">
      <w:pPr>
        <w:spacing w:after="0" w:line="240" w:lineRule="auto"/>
        <w:jc w:val="left"/>
        <w:rPr>
          <w:sz w:val="24"/>
          <w:szCs w:val="24"/>
        </w:rPr>
      </w:pPr>
      <w:bookmarkEnd w:id="39"/>
      <w:r w:rsidRPr="00476511">
        <w:rPr>
          <w:sz w:val="24"/>
          <w:szCs w:val="24"/>
        </w:rPr>
        <w:t>Stephen M. Lathrop</w:t>
      </w:r>
    </w:p>
    <w:p w:rsidR="00476511" w:rsidRPr="00476511" w:rsidP="00476511">
      <w:pPr>
        <w:spacing w:after="0" w:line="240" w:lineRule="auto"/>
        <w:jc w:val="left"/>
        <w:rPr>
          <w:sz w:val="24"/>
          <w:szCs w:val="24"/>
        </w:rPr>
      </w:pPr>
      <w:r w:rsidRPr="00476511">
        <w:rPr>
          <w:sz w:val="24"/>
          <w:szCs w:val="24"/>
        </w:rPr>
        <w:t>904 Silver Spur Road #430</w:t>
      </w:r>
    </w:p>
    <w:p w:rsidR="00476511" w:rsidRPr="00476511" w:rsidP="00476511">
      <w:pPr>
        <w:spacing w:after="0" w:line="240" w:lineRule="auto"/>
        <w:jc w:val="left"/>
        <w:rPr>
          <w:sz w:val="24"/>
          <w:szCs w:val="24"/>
        </w:rPr>
      </w:pPr>
      <w:r w:rsidRPr="00476511">
        <w:rPr>
          <w:sz w:val="24"/>
          <w:szCs w:val="24"/>
        </w:rPr>
        <w:t>Rolling Hills Estates, CA 90274</w:t>
      </w:r>
    </w:p>
    <w:p w:rsidR="00476511" w:rsidRPr="00476511" w:rsidP="00476511">
      <w:pPr>
        <w:spacing w:after="0" w:line="240" w:lineRule="auto"/>
        <w:jc w:val="left"/>
        <w:rPr>
          <w:sz w:val="24"/>
          <w:szCs w:val="24"/>
        </w:rPr>
      </w:pPr>
      <w:r w:rsidRPr="00476511">
        <w:rPr>
          <w:sz w:val="24"/>
          <w:szCs w:val="24"/>
        </w:rPr>
        <w:t>(310) 237-1000</w:t>
      </w:r>
    </w:p>
    <w:p w:rsidR="00476511" w:rsidRPr="00476511" w:rsidP="00476511">
      <w:pPr>
        <w:spacing w:after="0" w:line="240" w:lineRule="auto"/>
        <w:jc w:val="left"/>
        <w:rPr>
          <w:sz w:val="24"/>
          <w:szCs w:val="24"/>
        </w:rPr>
      </w:pPr>
    </w:p>
    <w:p w:rsidR="00476511" w:rsidRPr="00476511" w:rsidP="00476511">
      <w:pPr>
        <w:spacing w:after="0" w:line="240" w:lineRule="auto"/>
        <w:jc w:val="left"/>
        <w:rPr>
          <w:sz w:val="24"/>
          <w:szCs w:val="24"/>
        </w:rPr>
      </w:pPr>
      <w:r w:rsidRPr="00476511">
        <w:rPr>
          <w:sz w:val="24"/>
          <w:szCs w:val="24"/>
        </w:rPr>
        <w:t>Donald W. Ostertag</w:t>
      </w:r>
    </w:p>
    <w:p w:rsidR="00476511" w:rsidRPr="00476511" w:rsidP="00476511">
      <w:pPr>
        <w:spacing w:after="0" w:line="240" w:lineRule="auto"/>
        <w:jc w:val="left"/>
        <w:rPr>
          <w:sz w:val="24"/>
          <w:szCs w:val="24"/>
        </w:rPr>
      </w:pPr>
      <w:r w:rsidRPr="00476511">
        <w:rPr>
          <w:sz w:val="24"/>
          <w:szCs w:val="24"/>
        </w:rPr>
        <w:t>Deputy Attorney General</w:t>
      </w:r>
    </w:p>
    <w:p w:rsidR="00476511" w:rsidRPr="00476511" w:rsidP="00476511">
      <w:pPr>
        <w:spacing w:after="0" w:line="240" w:lineRule="auto"/>
        <w:jc w:val="left"/>
        <w:rPr>
          <w:sz w:val="24"/>
          <w:szCs w:val="24"/>
        </w:rPr>
      </w:pPr>
      <w:r w:rsidRPr="00476511">
        <w:rPr>
          <w:sz w:val="24"/>
          <w:szCs w:val="24"/>
        </w:rPr>
        <w:t>600 West Broadway, Suite 1800</w:t>
      </w:r>
    </w:p>
    <w:p w:rsidR="00476511" w:rsidRPr="00476511" w:rsidP="00476511">
      <w:pPr>
        <w:spacing w:after="0" w:line="240" w:lineRule="auto"/>
        <w:jc w:val="left"/>
        <w:rPr>
          <w:sz w:val="24"/>
          <w:szCs w:val="24"/>
        </w:rPr>
      </w:pPr>
      <w:r w:rsidRPr="00476511">
        <w:rPr>
          <w:sz w:val="24"/>
          <w:szCs w:val="24"/>
        </w:rPr>
        <w:t>San Diego, CA 92101</w:t>
      </w:r>
    </w:p>
    <w:p w:rsidR="00476511" w:rsidRPr="00476511" w:rsidP="00476511">
      <w:pPr>
        <w:spacing w:after="0" w:line="240" w:lineRule="auto"/>
        <w:jc w:val="left"/>
        <w:rPr>
          <w:sz w:val="24"/>
          <w:szCs w:val="24"/>
        </w:rPr>
      </w:pPr>
      <w:r w:rsidRPr="00476511">
        <w:rPr>
          <w:sz w:val="24"/>
          <w:szCs w:val="24"/>
        </w:rPr>
        <w:t>(619) 738-9557</w:t>
      </w:r>
    </w:p>
    <w:p w:rsidR="00FB3E90" w:rsidRPr="00F91951" w:rsidP="00F91951">
      <w:pPr>
        <w:tabs>
          <w:tab w:val="left" w:pos="1440"/>
        </w:tabs>
        <w:spacing w:line="480" w:lineRule="atLeast"/>
        <w:rPr>
          <w:b/>
        </w:rPr>
      </w:pPr>
    </w:p>
    <w:sectPr w:rsidSect="0052255D">
      <w:headerReference w:type="default" r:id="rId14"/>
      <w:footerReference w:type="default" r:id="rId15"/>
      <w:footerReference w:type="first" r:id="rId16"/>
      <w:pgSz w:w="12240" w:h="15840"/>
      <w:pgMar w:top="1800" w:right="2160" w:bottom="1440" w:left="216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64917743"/>
      <w:docPartObj>
        <w:docPartGallery w:val="Page Numbers (Bottom of Page)"/>
        <w:docPartUnique/>
      </w:docPartObj>
    </w:sdtPr>
    <w:sdtEndPr>
      <w:rPr>
        <w:noProof/>
      </w:rPr>
    </w:sdtEndPr>
    <w:sdtContent>
      <w:p w:rsidR="00F23BD9">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68991937"/>
      <w:docPartObj>
        <w:docPartGallery w:val="Page Numbers (Bottom of Page)"/>
        <w:docPartUnique/>
      </w:docPartObj>
    </w:sdtPr>
    <w:sdtEndPr>
      <w:rPr>
        <w:noProof/>
      </w:rPr>
    </w:sdtEndPr>
    <w:sdtContent>
      <w:p w:rsidR="00F23BD9">
        <w:pPr>
          <w:pStyle w:val="Foo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375818788"/>
      <w:docPartObj>
        <w:docPartGallery w:val="Page Numbers (Bottom of Page)"/>
        <w:docPartUnique/>
      </w:docPartObj>
    </w:sdtPr>
    <w:sdtEndPr>
      <w:rPr>
        <w:noProof/>
      </w:rPr>
    </w:sdtEndPr>
    <w:sdtContent>
      <w:p w:rsidR="0052255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51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F7382">
      <w:r>
        <w:separator/>
      </w:r>
    </w:p>
  </w:footnote>
  <w:footnote w:type="continuationSeparator" w:id="1">
    <w:p w:rsidR="00DF7382" w:rsidP="004F684C">
      <w:pPr>
        <w:spacing w:after="120"/>
        <w:rPr>
          <w:sz w:val="22"/>
        </w:rPr>
      </w:pPr>
      <w:r>
        <w:continuationSeparator/>
      </w:r>
    </w:p>
  </w:footnote>
  <w:footnote w:type="continuationNotice" w:id="2">
    <w:p w:rsidR="00DF7382" w:rsidRPr="004F684C" w:rsidP="004F684C">
      <w:pPr>
        <w:pStyle w:val="Footer"/>
        <w:spacing w:before="120"/>
      </w:pPr>
    </w:p>
  </w:footnote>
  <w:footnote w:id="3">
    <w:p w:rsidR="00F23BD9" w:rsidP="0052255D">
      <w:pPr>
        <w:pStyle w:val="FootnoteText"/>
      </w:pPr>
      <w:r>
        <w:rPr>
          <w:rStyle w:val="FootnoteReference"/>
        </w:rPr>
        <w:footnoteRef/>
      </w:r>
      <w:r>
        <w:t xml:space="preserve"> </w:t>
      </w:r>
      <w:r>
        <w:tab/>
        <w:t>All further statutory references are to the Penal Code unless otherwise indicated.</w:t>
      </w:r>
    </w:p>
  </w:footnote>
  <w:footnote w:id="4">
    <w:p w:rsidR="00C60607" w:rsidP="0052255D">
      <w:pPr>
        <w:pStyle w:val="FootnoteText"/>
      </w:pPr>
      <w:r>
        <w:rPr>
          <w:rStyle w:val="FootnoteReference"/>
        </w:rPr>
        <w:footnoteRef/>
      </w:r>
      <w:r>
        <w:t xml:space="preserve"> </w:t>
      </w:r>
      <w:r>
        <w:tab/>
        <w:t xml:space="preserve">As discussed </w:t>
      </w:r>
      <w:r>
        <w:rPr>
          <w:i/>
          <w:iCs/>
        </w:rPr>
        <w:t>post</w:t>
      </w:r>
      <w:r>
        <w:t>, Towne was unavailable at the guilt phase of trial.  His statements to police officers, made shortly after the shooting, were not admitted at trial.</w:t>
      </w:r>
    </w:p>
  </w:footnote>
  <w:footnote w:id="5">
    <w:p w:rsidR="00F23BD9" w:rsidP="0052255D">
      <w:pPr>
        <w:pStyle w:val="FootnoteText"/>
      </w:pPr>
      <w:r w:rsidRPr="004F684C">
        <w:rPr>
          <w:b/>
          <w:bCs/>
          <w:sz w:val="20"/>
        </w:rPr>
        <w:footnoteRef/>
      </w:r>
      <w:r w:rsidRPr="00C729A8">
        <w:rPr>
          <w:rFonts w:eastAsia="Arial Unicode MS" w:cs="Arial Unicode MS"/>
          <w:b/>
          <w:bCs/>
        </w:rPr>
        <w:t xml:space="preserve"> </w:t>
      </w:r>
      <w:r>
        <w:rPr>
          <w:rFonts w:eastAsia="Arial Unicode MS" w:cs="Arial Unicode MS"/>
        </w:rPr>
        <w:tab/>
        <w:t xml:space="preserve">“T-Strong” was defendant’s given name at </w:t>
      </w:r>
      <w:r w:rsidRPr="00DF3219">
        <w:rPr>
          <w:rFonts w:eastAsia="Arial Unicode MS" w:cs="Arial Unicode MS"/>
        </w:rPr>
        <w:t xml:space="preserve">birth.  </w:t>
      </w:r>
    </w:p>
  </w:footnote>
  <w:footnote w:id="6">
    <w:p w:rsidR="009227B6" w:rsidRPr="00E9019B" w:rsidP="0052255D">
      <w:pPr>
        <w:pStyle w:val="FootnoteText"/>
      </w:pPr>
      <w:r>
        <w:rPr>
          <w:rStyle w:val="FootnoteReference"/>
        </w:rPr>
        <w:footnoteRef/>
      </w:r>
      <w:r>
        <w:t xml:space="preserve"> </w:t>
      </w:r>
      <w:r>
        <w:tab/>
        <w:t xml:space="preserve">Defendant initially refused to identify who was driving the Jeep after the shooting, but later testified that Clarito </w:t>
      </w:r>
      <w:r w:rsidRPr="00DD35F4">
        <w:t xml:space="preserve">Mina was the driver, not Lee.  </w:t>
      </w:r>
    </w:p>
  </w:footnote>
  <w:footnote w:id="7">
    <w:p w:rsidR="00F23BD9" w:rsidRPr="00DF2D90" w:rsidP="0052255D">
      <w:pPr>
        <w:pStyle w:val="FootnoteText"/>
      </w:pPr>
      <w:r>
        <w:rPr>
          <w:rStyle w:val="FootnoteReference"/>
        </w:rPr>
        <w:footnoteRef/>
      </w:r>
      <w:r>
        <w:t xml:space="preserve"> </w:t>
      </w:r>
      <w:r>
        <w:tab/>
        <w:t xml:space="preserve">The cases cited by defendant do not suggest a different result, as they </w:t>
      </w:r>
      <w:r w:rsidRPr="006F6E5C">
        <w:t>either involve statements made by a victim (</w:t>
      </w:r>
      <w:r w:rsidRPr="0019086A">
        <w:rPr>
          <w:i/>
          <w:iCs/>
        </w:rPr>
        <w:t>Morrison</w:t>
      </w:r>
      <w:r w:rsidRPr="0019086A">
        <w:t xml:space="preserve">, </w:t>
      </w:r>
      <w:r w:rsidRPr="0019086A">
        <w:rPr>
          <w:i/>
          <w:iCs/>
        </w:rPr>
        <w:t>supra</w:t>
      </w:r>
      <w:r w:rsidRPr="0019086A">
        <w:t>, 34 Cal.4th</w:t>
      </w:r>
      <w:r w:rsidRPr="0019086A">
        <w:rPr>
          <w:i/>
          <w:iCs/>
        </w:rPr>
        <w:t xml:space="preserve"> </w:t>
      </w:r>
      <w:r w:rsidRPr="0019086A">
        <w:t xml:space="preserve">at p. 719 </w:t>
      </w:r>
      <w:r w:rsidRPr="006F6E5C">
        <w:t xml:space="preserve">[victim identified defendants minutes after she was shot multiple times]; </w:t>
      </w:r>
      <w:r w:rsidRPr="00006532">
        <w:rPr>
          <w:i/>
          <w:iCs/>
        </w:rPr>
        <w:t>Thomas</w:t>
      </w:r>
      <w:r w:rsidRPr="00006532">
        <w:t xml:space="preserve">, </w:t>
      </w:r>
      <w:r w:rsidRPr="00006532">
        <w:rPr>
          <w:i/>
          <w:iCs/>
        </w:rPr>
        <w:t>supra</w:t>
      </w:r>
      <w:r w:rsidRPr="00006532">
        <w:t xml:space="preserve">, 51 Cal.4th at p. </w:t>
      </w:r>
      <w:r w:rsidRPr="008908D4">
        <w:rPr>
          <w:color w:val="000000" w:themeColor="text1"/>
        </w:rPr>
        <w:t>496 [</w:t>
      </w:r>
      <w:r w:rsidRPr="006F6E5C">
        <w:t>victim “identified defendant minutes after he was attacked when he still was bleeding and ‘obviously distressed’</w:t>
      </w:r>
      <w:r>
        <w:t> </w:t>
      </w:r>
      <w:r w:rsidRPr="006F6E5C">
        <w:t>”]) or an uninjured eyewitness whose demeanor le</w:t>
      </w:r>
      <w:r>
        <w:t>ft</w:t>
      </w:r>
      <w:r w:rsidRPr="006F6E5C">
        <w:t xml:space="preserve"> no doubt that </w:t>
      </w:r>
      <w:r w:rsidR="00993C95">
        <w:t xml:space="preserve">the person </w:t>
      </w:r>
      <w:r w:rsidRPr="006F6E5C">
        <w:t xml:space="preserve">was still reacting to the </w:t>
      </w:r>
      <w:r w:rsidRPr="002446BE">
        <w:t>event (</w:t>
      </w:r>
      <w:r w:rsidRPr="002446BE">
        <w:rPr>
          <w:i/>
          <w:iCs/>
        </w:rPr>
        <w:t>People v. Blacksher</w:t>
      </w:r>
      <w:r w:rsidRPr="002446BE">
        <w:t xml:space="preserve"> (2011) 52 Cal.4th 769, 810 </w:t>
      </w:r>
      <w:r w:rsidRPr="006F6E5C">
        <w:t xml:space="preserve">[declarant was “hysterical” when she spoke with police officer]; </w:t>
      </w:r>
      <w:r w:rsidRPr="00413FDE">
        <w:rPr>
          <w:i/>
          <w:iCs/>
        </w:rPr>
        <w:t xml:space="preserve">People v. Brown </w:t>
      </w:r>
      <w:r w:rsidRPr="00413FDE">
        <w:t xml:space="preserve">(2003) 31 Cal.4th 518, 541 </w:t>
      </w:r>
      <w:r w:rsidRPr="006F6E5C">
        <w:t xml:space="preserve">[trial court’s finding that the declarant was still reacting to the events when he made </w:t>
      </w:r>
      <w:r w:rsidR="00E01029">
        <w:t>his</w:t>
      </w:r>
      <w:r w:rsidRPr="006F6E5C" w:rsidR="00E01029">
        <w:t xml:space="preserve"> </w:t>
      </w:r>
      <w:r w:rsidRPr="006F6E5C">
        <w:t>statement to his sister-in-law was supported by evidence that “he could not stop his body from shaking nor stem the flow of tears”])</w:t>
      </w:r>
      <w:r>
        <w:t>.  Furthermore, in each of these cases we upheld the trial court’s ruling on the statements in question under an abuse of discretion standard</w:t>
      </w:r>
      <w:r w:rsidRPr="006F6E5C">
        <w:t>.</w:t>
      </w:r>
      <w:r>
        <w:t xml:space="preserve">  Even if the circumstances in which the statements were made bear certain similarities to the circumstances in which Towne made </w:t>
      </w:r>
      <w:r w:rsidR="00E01029">
        <w:t xml:space="preserve">his </w:t>
      </w:r>
      <w:r>
        <w:t xml:space="preserve">statements, it is not incongruous to determine that the trial court here </w:t>
      </w:r>
      <w:r w:rsidR="00E01029">
        <w:t xml:space="preserve">also </w:t>
      </w:r>
      <w:r>
        <w:t>acted within its discretion when it excluded Towne’s statements.</w:t>
      </w:r>
      <w:r w:rsidR="00DF2D90">
        <w:t xml:space="preserve">  (See </w:t>
      </w:r>
      <w:r w:rsidR="0026111A">
        <w:rPr>
          <w:i/>
          <w:iCs/>
        </w:rPr>
        <w:t>People v. Liggins</w:t>
      </w:r>
      <w:r w:rsidR="0026111A">
        <w:t xml:space="preserve"> (2020) 53 Cal.App.5th 55, 63–64 </w:t>
      </w:r>
      <w:r w:rsidR="001F2B7D">
        <w:t>[“Faced with two competing interpretations of the record, the standard of review decides the issue.  On appeal, we cannot second-guess the trial court’s assessment of the evidence in determining [the declarant’s] state of mind”]</w:t>
      </w:r>
      <w:r w:rsidR="00DF2D90">
        <w:t>.)</w:t>
      </w:r>
    </w:p>
  </w:footnote>
  <w:footnote w:id="8">
    <w:p w:rsidR="004F68E1">
      <w:pPr>
        <w:pStyle w:val="FootnoteText"/>
      </w:pPr>
      <w:r>
        <w:rPr>
          <w:rStyle w:val="FootnoteReference"/>
        </w:rPr>
        <w:footnoteRef/>
      </w:r>
      <w:r>
        <w:t xml:space="preserve"> </w:t>
      </w:r>
      <w:r>
        <w:tab/>
        <w:t xml:space="preserve">CALJIC No. 2.70 then read: </w:t>
      </w:r>
      <w:r w:rsidR="0001103C">
        <w:t>“</w:t>
      </w:r>
      <w:r w:rsidR="00E854F9">
        <w:t>A confession is a statement made by a defendant in which [he] [she] has acknowledged [his</w:t>
      </w:r>
      <w:r w:rsidR="006354D7">
        <w:t xml:space="preserve">] [her] guilt of the crime[s] for which [he] [she] is on trial.  In order to constitute a confession, the statement must acknowledge participation in the crime[s] as well as the required [criminal intent] [state of mind]. </w:t>
      </w:r>
      <w:r w:rsidR="004D561D">
        <w:t xml:space="preserve"> [¶]  An admission is a statement made by [a] [the] defendant which does not by itself acknowledge [his] [her] guilt of the crime[s] for which the defendant is on trial, but which statement tends to prove [his] [her] guilt when considered with the rest of the evidence.  [¶] </w:t>
      </w:r>
      <w:r w:rsidR="00277163">
        <w:t xml:space="preserve"> You are the exclusive judges as to whether the defendant made a confession [or an admission], and if so, whether that statement is true in whole or in part</w:t>
      </w:r>
      <w:r w:rsidR="00447F30">
        <w:t>.  [¶]  [Evidence of [an oral confession] [or] [an oral admission] of the defendant not made in court should be viewed with caution</w:t>
      </w:r>
      <w:r>
        <w:t>.</w:t>
      </w:r>
      <w:r w:rsidR="00447F30">
        <w:t>]</w:t>
      </w:r>
      <w:r w:rsidR="0001103C">
        <w:t>”</w:t>
      </w:r>
    </w:p>
  </w:footnote>
  <w:footnote w:id="9">
    <w:p w:rsidR="00D37A7C" w:rsidP="0052255D">
      <w:pPr>
        <w:pStyle w:val="FootnoteText"/>
      </w:pPr>
      <w:r>
        <w:rPr>
          <w:rStyle w:val="FootnoteReference"/>
        </w:rPr>
        <w:footnoteRef/>
      </w:r>
      <w:r>
        <w:t xml:space="preserve"> </w:t>
      </w:r>
      <w:r>
        <w:tab/>
        <w:t>The trial court instructed the jury as follows:  “An admission is a statement made by a defendant which does not by itself acknowledge his guilt of the crimes for which the defendant is on trial, but which statement tends to prove his guilt when considered with the rest of the evidence.  You are the exclusive judges as to whether the defendant made an admission, and if so, whether that statement is true in whole or in part.  [¶]  Evidence of an oral admission of a defendant not made in court should be viewed with caution.”</w:t>
      </w:r>
    </w:p>
  </w:footnote>
  <w:footnote w:id="10">
    <w:p w:rsidR="00E41196" w:rsidP="0052255D">
      <w:pPr>
        <w:pStyle w:val="FootnoteText"/>
      </w:pPr>
      <w:r>
        <w:rPr>
          <w:rStyle w:val="FootnoteReference"/>
        </w:rPr>
        <w:footnoteRef/>
      </w:r>
      <w:r>
        <w:t xml:space="preserve"> </w:t>
      </w:r>
      <w:r w:rsidR="001B4E91">
        <w:tab/>
        <w:t>We are not asked to decide whether defendant was prejudiced by defense counsel’s failure to secure Towne’s appearance at the guilt phase trial</w:t>
      </w:r>
      <w:r w:rsidR="009A75CA">
        <w:t>, and we offer no opinion on that question</w:t>
      </w:r>
      <w:r w:rsidR="001B4E91">
        <w:t>.</w:t>
      </w:r>
    </w:p>
  </w:footnote>
  <w:footnote w:id="11">
    <w:p w:rsidR="00A36F42" w:rsidP="0052255D">
      <w:pPr>
        <w:pStyle w:val="FootnoteText"/>
      </w:pPr>
      <w:r>
        <w:rPr>
          <w:rStyle w:val="FootnoteReference"/>
        </w:rPr>
        <w:footnoteRef/>
      </w:r>
      <w:r>
        <w:t xml:space="preserve"> </w:t>
      </w:r>
      <w:r w:rsidR="00AE40EE">
        <w:tab/>
        <w:t>Defendant</w:t>
      </w:r>
      <w:r w:rsidR="001B3C51">
        <w:t xml:space="preserve">’s motion for new trial included </w:t>
      </w:r>
      <w:r w:rsidR="002649E9">
        <w:t>an affidavit</w:t>
      </w:r>
      <w:r w:rsidR="00007122">
        <w:t xml:space="preserve"> </w:t>
      </w:r>
      <w:r w:rsidR="001B3C51">
        <w:t>from Towne</w:t>
      </w:r>
      <w:r w:rsidR="002649E9">
        <w:t xml:space="preserve"> averring</w:t>
      </w:r>
      <w:r w:rsidR="0058323B">
        <w:t>, for the first time,</w:t>
      </w:r>
      <w:r w:rsidR="002649E9">
        <w:t xml:space="preserve"> that </w:t>
      </w:r>
      <w:r w:rsidR="00B067B1">
        <w:t xml:space="preserve">the shooter “definitely had a thin build” and </w:t>
      </w:r>
      <w:r w:rsidR="00B35E28">
        <w:t xml:space="preserve">was wearing a cap on his head.  </w:t>
      </w:r>
      <w:r w:rsidR="00847192">
        <w:t>However, t</w:t>
      </w:r>
      <w:r w:rsidR="00B35E28">
        <w:t xml:space="preserve">hese </w:t>
      </w:r>
      <w:r w:rsidR="001A6E82">
        <w:t xml:space="preserve">added specifics </w:t>
      </w:r>
      <w:r w:rsidR="00B35E28">
        <w:t xml:space="preserve">were not before the trial court when it ruled on </w:t>
      </w:r>
      <w:r w:rsidR="00E2588C">
        <w:t>the admissibility of Towne’s testimony at the penalty phase</w:t>
      </w:r>
      <w:r w:rsidR="00B567C5">
        <w:t>,</w:t>
      </w:r>
      <w:r w:rsidR="001E6A12">
        <w:t xml:space="preserve"> and we </w:t>
      </w:r>
      <w:r w:rsidR="00B567C5">
        <w:t xml:space="preserve">therefore </w:t>
      </w:r>
      <w:r w:rsidR="001E6A12">
        <w:t>do not consider them</w:t>
      </w:r>
      <w:r w:rsidR="0075373C">
        <w:t xml:space="preserve"> in our determination of whether the court erred</w:t>
      </w:r>
      <w:r w:rsidR="00E2588C">
        <w:t xml:space="preserve">.  </w:t>
      </w:r>
      <w:r w:rsidR="00BF7381">
        <w:t xml:space="preserve">(See </w:t>
      </w:r>
      <w:r w:rsidR="00991EA1">
        <w:rPr>
          <w:i/>
          <w:iCs/>
        </w:rPr>
        <w:t xml:space="preserve">People v. Avila </w:t>
      </w:r>
      <w:r w:rsidR="00991EA1">
        <w:t>(2004) 117 Cal.App.4th 771, 780, fn. 4 [“We review the correctness of the trial court’s ruling at the time it was made and not by reference to evidence produced at a later date.  [Citation.]  Since the [evidence</w:t>
      </w:r>
      <w:r w:rsidR="00B567C5">
        <w:t xml:space="preserve"> was</w:t>
      </w:r>
      <w:r w:rsidR="00991EA1">
        <w:t xml:space="preserve">] proffered in support of defendant’s </w:t>
      </w:r>
      <w:r w:rsidR="00A354F5">
        <w:t xml:space="preserve">new trial </w:t>
      </w:r>
      <w:r w:rsidR="00991EA1">
        <w:t xml:space="preserve">motion, </w:t>
      </w:r>
      <w:r w:rsidR="00B567C5">
        <w:t>[it is]</w:t>
      </w:r>
      <w:r w:rsidR="00991EA1">
        <w:t xml:space="preserve"> not relevant to an assessment of the propriety of rulings that were made during trial”]; </w:t>
      </w:r>
      <w:r w:rsidR="00BF7381">
        <w:rPr>
          <w:i/>
          <w:iCs/>
        </w:rPr>
        <w:t xml:space="preserve">People v. Allen </w:t>
      </w:r>
      <w:r w:rsidR="00BF7381">
        <w:t>(2008) 44 Cal.4th 843, 872, fn. 19 [“To preserve a contention that evidence should have been admitted, a party’s offer of proof must make clear the substance of the proffered testimony”]</w:t>
      </w:r>
      <w:r w:rsidR="00943988">
        <w:t xml:space="preserve">; </w:t>
      </w:r>
      <w:r w:rsidR="00943988">
        <w:rPr>
          <w:i/>
          <w:iCs/>
        </w:rPr>
        <w:t>In re Zeth S.</w:t>
      </w:r>
      <w:r w:rsidR="00943988">
        <w:t xml:space="preserve"> (2003) 31 Cal.4th 396, 405 [“It has long been the general rule and understanding that ‘an appeal reviews the correctness of a judgment as of the time of its rendition, upon a record of matters which were before the trial court for its consideration’ ”]</w:t>
      </w:r>
      <w:r w:rsidR="00BF7381">
        <w:t xml:space="preserve">.)  </w:t>
      </w:r>
      <w:r w:rsidR="00F56E23">
        <w:t>D</w:t>
      </w:r>
      <w:r w:rsidR="003C3638">
        <w:t xml:space="preserve">efendant does not </w:t>
      </w:r>
      <w:r w:rsidR="00C6560D">
        <w:t>challenge</w:t>
      </w:r>
      <w:r w:rsidR="003C3638">
        <w:t xml:space="preserve"> the court’s denial of his motion for new trial, to which Towne’s affidavit was attached.  </w:t>
      </w:r>
      <w:r w:rsidR="00E2588C">
        <w:t xml:space="preserve"> </w:t>
      </w:r>
    </w:p>
  </w:footnote>
  <w:footnote w:id="12">
    <w:p w:rsidR="006E36B9" w:rsidRPr="0021679B">
      <w:pPr>
        <w:pStyle w:val="FootnoteText"/>
      </w:pPr>
      <w:r>
        <w:rPr>
          <w:rStyle w:val="FootnoteReference"/>
        </w:rPr>
        <w:footnoteRef/>
      </w:r>
      <w:r>
        <w:t xml:space="preserve"> </w:t>
      </w:r>
      <w:r>
        <w:tab/>
      </w:r>
      <w:r>
        <w:rPr>
          <w:i/>
          <w:iCs/>
        </w:rPr>
        <w:t xml:space="preserve">Terry </w:t>
      </w:r>
      <w:r w:rsidR="0021679B">
        <w:t>involved an examination of section 190.1, a predecessor statute to</w:t>
      </w:r>
      <w:r w:rsidR="003311A6">
        <w:t xml:space="preserve"> section 190.3, factor (a), which </w:t>
      </w:r>
      <w:r w:rsidR="00FC42AE">
        <w:t xml:space="preserve">also </w:t>
      </w:r>
      <w:r w:rsidR="003311A6">
        <w:t xml:space="preserve">permitted </w:t>
      </w:r>
      <w:r w:rsidR="00FC42AE">
        <w:t>“</w:t>
      </w:r>
      <w:r w:rsidR="003311A6">
        <w:t xml:space="preserve">the presentation of </w:t>
      </w:r>
      <w:r w:rsidR="00FC42AE">
        <w:t>evidence as to ‘the circumstances surrounding the crime</w:t>
      </w:r>
      <w:r w:rsidR="00DF67A1">
        <w:t> . . . and of any facts in . . . mitigation of the penalty</w:t>
      </w:r>
      <w:r w:rsidR="003311A6">
        <w:t>.</w:t>
      </w:r>
      <w:r w:rsidR="00DF67A1">
        <w:t>’ ”</w:t>
      </w:r>
      <w:r w:rsidR="003311A6">
        <w:t xml:space="preserve">  (</w:t>
      </w:r>
      <w:r w:rsidR="003311A6">
        <w:rPr>
          <w:i/>
          <w:iCs/>
        </w:rPr>
        <w:t>Terry</w:t>
      </w:r>
      <w:r w:rsidR="003311A6">
        <w:t xml:space="preserve">, </w:t>
      </w:r>
      <w:r w:rsidR="003311A6">
        <w:rPr>
          <w:i/>
          <w:iCs/>
        </w:rPr>
        <w:t>supra</w:t>
      </w:r>
      <w:r w:rsidR="003311A6">
        <w:t xml:space="preserve">, 61 Cal.2d at p. 146.) </w:t>
      </w:r>
      <w:r w:rsidR="0021679B">
        <w:t xml:space="preserve"> </w:t>
      </w:r>
    </w:p>
  </w:footnote>
  <w:footnote w:id="13">
    <w:p w:rsidR="006D4273">
      <w:pPr>
        <w:pStyle w:val="FootnoteText"/>
      </w:pPr>
      <w:r>
        <w:rPr>
          <w:rStyle w:val="FootnoteReference"/>
        </w:rPr>
        <w:footnoteRef/>
      </w:r>
      <w:r>
        <w:t xml:space="preserve"> </w:t>
      </w:r>
      <w:r>
        <w:tab/>
      </w:r>
      <w:r w:rsidRPr="00AB64BE">
        <w:t xml:space="preserve">To the extent language in </w:t>
      </w:r>
      <w:r w:rsidRPr="001E5F91">
        <w:rPr>
          <w:i/>
          <w:iCs/>
        </w:rPr>
        <w:t>In re Gay</w:t>
      </w:r>
      <w:r w:rsidRPr="00AB64BE">
        <w:t xml:space="preserve"> (1998) 19 Cal.4th 771, 814, suggests otherwise, it is disapproved.</w:t>
      </w:r>
    </w:p>
  </w:footnote>
  <w:footnote w:id="14">
    <w:p w:rsidR="009E0B98">
      <w:pPr>
        <w:pStyle w:val="FootnoteText"/>
      </w:pPr>
      <w:r>
        <w:rPr>
          <w:rStyle w:val="FootnoteReference"/>
        </w:rPr>
        <w:footnoteRef/>
      </w:r>
      <w:r>
        <w:t xml:space="preserve"> </w:t>
      </w:r>
      <w:r>
        <w:tab/>
        <w:t xml:space="preserve">The record in this case does not suggest that the delay in presenting Towne’s testimony was a result of deliberate gamesmanship or sandbagging by the defense.  We therefore have no cause to comment on that issue, except to note that the trial court retains discretion to sanction </w:t>
      </w:r>
      <w:r w:rsidRPr="009E0B98">
        <w:rPr>
          <w:i/>
          <w:iCs/>
        </w:rPr>
        <w:t>either</w:t>
      </w:r>
      <w:r>
        <w:t xml:space="preserve"> party for discovery violations, including </w:t>
      </w:r>
      <w:r w:rsidR="00D13841">
        <w:t xml:space="preserve">by imposing </w:t>
      </w:r>
      <w:r>
        <w:t xml:space="preserve">the sanction of precluding witness testimony.  (See </w:t>
      </w:r>
      <w:r w:rsidRPr="003E444E">
        <w:rPr>
          <w:i/>
          <w:iCs/>
        </w:rPr>
        <w:t>People v. Hajek and Vo</w:t>
      </w:r>
      <w:r>
        <w:t xml:space="preserve"> (2014) 58 Cal.4th 1144, 1233.)     </w:t>
      </w:r>
    </w:p>
  </w:footnote>
  <w:footnote w:id="15">
    <w:p w:rsidR="00887B33" w:rsidP="00887B33">
      <w:pPr>
        <w:pStyle w:val="FootnoteText"/>
      </w:pPr>
      <w:r>
        <w:rPr>
          <w:rStyle w:val="FootnoteReference"/>
        </w:rPr>
        <w:footnoteRef/>
      </w:r>
      <w:r>
        <w:t xml:space="preserve"> </w:t>
      </w:r>
      <w:r>
        <w:tab/>
      </w:r>
      <w:r>
        <w:rPr>
          <w:szCs w:val="27"/>
          <w:shd w:val="clear" w:color="auto" w:fill="FFFFFF"/>
        </w:rPr>
        <w:t xml:space="preserve">In seeking a mid-trial continuance, defense counsel presented testimony from Defense Investigator David Carpenter, who described for the trial court his efforts to locate Towne.  In so doing, Carpenter explained in part, “[w]e didn’t subpoena Mr. Towne because Mr. Towne was at all times friendly.  California subpoena in Nevada is worthless.  It was the suggestion to [defense counsel] that we not go through the interstate compact that would serve to alienate him.  I didn’t feel it was appropriate and a waste of time.”  </w:t>
      </w:r>
      <w:r>
        <w:rPr>
          <w:szCs w:val="27"/>
        </w:rPr>
        <w:t xml:space="preserve">The “interstate compact” referred to by Carpenter is more formally known as the </w:t>
      </w:r>
      <w:r>
        <w:rPr>
          <w:szCs w:val="27"/>
          <w:bdr w:val="none" w:sz="0" w:space="0" w:color="auto" w:frame="1"/>
        </w:rPr>
        <w:t>Uniform Act to Secure the</w:t>
      </w:r>
      <w:r>
        <w:rPr>
          <w:szCs w:val="27"/>
        </w:rPr>
        <w:t xml:space="preserve"> </w:t>
      </w:r>
      <w:r>
        <w:rPr>
          <w:szCs w:val="27"/>
          <w:bdr w:val="none" w:sz="0" w:space="0" w:color="auto" w:frame="1"/>
        </w:rPr>
        <w:t>Attendance of Witnesses</w:t>
      </w:r>
      <w:r>
        <w:rPr>
          <w:szCs w:val="27"/>
        </w:rPr>
        <w:t xml:space="preserve"> from without the State in Criminal Cases (“the Act”).  (See Pen. Code, § 1334.)  The California Legislature adopted the Act in 1937, with slight modifications, as sections 1334 to 1334.6 of the Penal Code.  (See </w:t>
      </w:r>
      <w:r>
        <w:rPr>
          <w:i/>
          <w:iCs/>
          <w:szCs w:val="27"/>
        </w:rPr>
        <w:t xml:space="preserve">People v. Cavanaugh </w:t>
      </w:r>
      <w:r>
        <w:rPr>
          <w:szCs w:val="27"/>
        </w:rPr>
        <w:t xml:space="preserve">(1968) 69 Cal.2d 262, 266.)  The Act has now been adopted in all fifty states, plus the District of Columbia, Puerto Rico, and the Virgin Islands.  (Studnicki &amp; Apol, </w:t>
      </w:r>
      <w:r>
        <w:rPr>
          <w:i/>
          <w:iCs/>
          <w:szCs w:val="27"/>
        </w:rPr>
        <w:t>Witness Detention and Intimidation:  The History and Future of Material Witness Law</w:t>
      </w:r>
      <w:r>
        <w:rPr>
          <w:szCs w:val="27"/>
        </w:rPr>
        <w:t xml:space="preserve"> (2002) 76 St. John’s L.Rev. 483, 532.)  It permits a court to order that a material witness in a criminal prosecution be taken into custody in another state and delivered to the court to ensure the witness’s attendance at trial.  (Pen. Code, </w:t>
      </w:r>
      <w:r>
        <w:rPr>
          <w:szCs w:val="27"/>
          <w:bdr w:val="none" w:sz="0" w:space="0" w:color="auto" w:frame="1"/>
        </w:rPr>
        <w:t>§§ 1334</w:t>
      </w:r>
      <w:r>
        <w:rPr>
          <w:szCs w:val="27"/>
        </w:rPr>
        <w:t>–</w:t>
      </w:r>
      <w:r>
        <w:rPr>
          <w:szCs w:val="27"/>
          <w:bdr w:val="none" w:sz="0" w:space="0" w:color="auto" w:frame="1"/>
        </w:rPr>
        <w:t>1334.6.)</w:t>
      </w:r>
      <w:r>
        <w:rPr>
          <w:sz w:val="26"/>
          <w:szCs w:val="26"/>
          <w:bdr w:val="none" w:sz="0" w:space="0" w:color="auto" w:frame="1"/>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1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255D" w:rsidP="0052255D">
    <w:pPr>
      <w:pStyle w:val="Header"/>
    </w:pPr>
    <w:r>
      <w:t>PEOPLE v. MATAELE</w:t>
    </w:r>
  </w:p>
  <w:p w:rsidR="0052255D" w:rsidP="0052255D">
    <w:pPr>
      <w:pStyle w:val="Header"/>
    </w:pPr>
    <w:r>
      <w:t>Opinion of the Court by Cantil-Sakauye, C. J.</w:t>
    </w:r>
  </w:p>
  <w:p w:rsidR="005225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F319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77A2C" w:rsidP="0052255D">
    <w:pPr>
      <w:pStyle w:val="Header"/>
    </w:pPr>
    <w:r>
      <w:t>PEOPLE v. MATAELE</w:t>
    </w:r>
  </w:p>
  <w:p w:rsidR="00A77A2C" w:rsidP="0052255D">
    <w:pPr>
      <w:pStyle w:val="Header"/>
    </w:pPr>
    <w:r>
      <w:t>Groban, J., concurring</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37791" w:rsidP="0052255D">
    <w:pPr>
      <w:pStyle w:val="Header"/>
    </w:pPr>
    <w:r>
      <w:t>PEOPLE v. MATAELE</w:t>
    </w:r>
  </w:p>
  <w:p w:rsidR="00737791" w:rsidP="0052255D">
    <w:pPr>
      <w:pStyle w:val="Header"/>
    </w:pPr>
    <w:r>
      <w:t>Liu, J., concurring and dissenting</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76511" w:rsidRPr="00476511" w:rsidP="0047651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D0F34BF"/>
    <w:multiLevelType w:val="hybridMultilevel"/>
    <w:tmpl w:val="82EC37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F4A31ED"/>
    <w:multiLevelType w:val="hybridMultilevel"/>
    <w:tmpl w:val="C51EA1A4"/>
    <w:lvl w:ilvl="0">
      <w:start w:val="1"/>
      <w:numFmt w:val="lowerLetter"/>
      <w:lvlText w:val="%1."/>
      <w:lvlJc w:val="left"/>
      <w:pPr>
        <w:ind w:left="1944" w:hanging="360"/>
      </w:pPr>
      <w:rPr>
        <w:rFonts w:hint="default"/>
      </w:rPr>
    </w:lvl>
    <w:lvl w:ilvl="1" w:tentative="1">
      <w:start w:val="1"/>
      <w:numFmt w:val="lowerLetter"/>
      <w:lvlText w:val="%2."/>
      <w:lvlJc w:val="left"/>
      <w:pPr>
        <w:ind w:left="2664" w:hanging="360"/>
      </w:pPr>
    </w:lvl>
    <w:lvl w:ilvl="2" w:tentative="1">
      <w:start w:val="1"/>
      <w:numFmt w:val="lowerRoman"/>
      <w:lvlText w:val="%3."/>
      <w:lvlJc w:val="right"/>
      <w:pPr>
        <w:ind w:left="3384" w:hanging="180"/>
      </w:pPr>
    </w:lvl>
    <w:lvl w:ilvl="3" w:tentative="1">
      <w:start w:val="1"/>
      <w:numFmt w:val="decimal"/>
      <w:lvlText w:val="%4."/>
      <w:lvlJc w:val="left"/>
      <w:pPr>
        <w:ind w:left="4104" w:hanging="360"/>
      </w:pPr>
    </w:lvl>
    <w:lvl w:ilvl="4" w:tentative="1">
      <w:start w:val="1"/>
      <w:numFmt w:val="lowerLetter"/>
      <w:lvlText w:val="%5."/>
      <w:lvlJc w:val="left"/>
      <w:pPr>
        <w:ind w:left="4824" w:hanging="360"/>
      </w:pPr>
    </w:lvl>
    <w:lvl w:ilvl="5" w:tentative="1">
      <w:start w:val="1"/>
      <w:numFmt w:val="lowerRoman"/>
      <w:lvlText w:val="%6."/>
      <w:lvlJc w:val="right"/>
      <w:pPr>
        <w:ind w:left="5544" w:hanging="180"/>
      </w:pPr>
    </w:lvl>
    <w:lvl w:ilvl="6" w:tentative="1">
      <w:start w:val="1"/>
      <w:numFmt w:val="decimal"/>
      <w:lvlText w:val="%7."/>
      <w:lvlJc w:val="left"/>
      <w:pPr>
        <w:ind w:left="6264" w:hanging="360"/>
      </w:pPr>
    </w:lvl>
    <w:lvl w:ilvl="7" w:tentative="1">
      <w:start w:val="1"/>
      <w:numFmt w:val="lowerLetter"/>
      <w:lvlText w:val="%8."/>
      <w:lvlJc w:val="left"/>
      <w:pPr>
        <w:ind w:left="6984" w:hanging="360"/>
      </w:pPr>
    </w:lvl>
    <w:lvl w:ilvl="8" w:tentative="1">
      <w:start w:val="1"/>
      <w:numFmt w:val="lowerRoman"/>
      <w:lvlText w:val="%9."/>
      <w:lvlJc w:val="right"/>
      <w:pPr>
        <w:ind w:left="7704" w:hanging="180"/>
      </w:pPr>
    </w:lvl>
  </w:abstractNum>
  <w:abstractNum w:abstractNumId="2">
    <w:nsid w:val="4238302E"/>
    <w:multiLevelType w:val="hybridMultilevel"/>
    <w:tmpl w:val="F866F4A2"/>
    <w:lvl w:ilvl="0">
      <w:start w:val="1"/>
      <w:numFmt w:val="decimal"/>
      <w:lvlText w:val="%1."/>
      <w:lvlJc w:val="left"/>
      <w:pPr>
        <w:ind w:left="1512" w:hanging="360"/>
      </w:pPr>
      <w:rPr>
        <w:rFonts w:hint="default"/>
      </w:rPr>
    </w:lvl>
    <w:lvl w:ilvl="1" w:tentative="1">
      <w:start w:val="1"/>
      <w:numFmt w:val="lowerLetter"/>
      <w:lvlText w:val="%2."/>
      <w:lvlJc w:val="left"/>
      <w:pPr>
        <w:ind w:left="2232" w:hanging="360"/>
      </w:pPr>
    </w:lvl>
    <w:lvl w:ilvl="2" w:tentative="1">
      <w:start w:val="1"/>
      <w:numFmt w:val="lowerRoman"/>
      <w:lvlText w:val="%3."/>
      <w:lvlJc w:val="right"/>
      <w:pPr>
        <w:ind w:left="2952" w:hanging="180"/>
      </w:pPr>
    </w:lvl>
    <w:lvl w:ilvl="3" w:tentative="1">
      <w:start w:val="1"/>
      <w:numFmt w:val="decimal"/>
      <w:lvlText w:val="%4."/>
      <w:lvlJc w:val="left"/>
      <w:pPr>
        <w:ind w:left="3672" w:hanging="360"/>
      </w:pPr>
    </w:lvl>
    <w:lvl w:ilvl="4" w:tentative="1">
      <w:start w:val="1"/>
      <w:numFmt w:val="lowerLetter"/>
      <w:lvlText w:val="%5."/>
      <w:lvlJc w:val="left"/>
      <w:pPr>
        <w:ind w:left="4392" w:hanging="360"/>
      </w:pPr>
    </w:lvl>
    <w:lvl w:ilvl="5" w:tentative="1">
      <w:start w:val="1"/>
      <w:numFmt w:val="lowerRoman"/>
      <w:lvlText w:val="%6."/>
      <w:lvlJc w:val="right"/>
      <w:pPr>
        <w:ind w:left="5112" w:hanging="180"/>
      </w:pPr>
    </w:lvl>
    <w:lvl w:ilvl="6" w:tentative="1">
      <w:start w:val="1"/>
      <w:numFmt w:val="decimal"/>
      <w:lvlText w:val="%7."/>
      <w:lvlJc w:val="left"/>
      <w:pPr>
        <w:ind w:left="5832" w:hanging="360"/>
      </w:pPr>
    </w:lvl>
    <w:lvl w:ilvl="7" w:tentative="1">
      <w:start w:val="1"/>
      <w:numFmt w:val="lowerLetter"/>
      <w:lvlText w:val="%8."/>
      <w:lvlJc w:val="left"/>
      <w:pPr>
        <w:ind w:left="6552" w:hanging="360"/>
      </w:pPr>
    </w:lvl>
    <w:lvl w:ilvl="8" w:tentative="1">
      <w:start w:val="1"/>
      <w:numFmt w:val="lowerRoman"/>
      <w:lvlText w:val="%9."/>
      <w:lvlJc w:val="right"/>
      <w:pPr>
        <w:ind w:left="7272" w:hanging="180"/>
      </w:pPr>
    </w:lvl>
  </w:abstractNum>
  <w:abstractNum w:abstractNumId="3">
    <w:nsid w:val="62AA678A"/>
    <w:multiLevelType w:val="hybridMultilevel"/>
    <w:tmpl w:val="3E1050B0"/>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255D"/>
    <w:pPr>
      <w:spacing w:after="100" w:line="400" w:lineRule="exact"/>
      <w:jc w:val="both"/>
    </w:pPr>
    <w:rPr>
      <w:rFonts w:ascii="Century Schoolbook" w:hAnsi="Century Schoolbook"/>
      <w:sz w:val="27"/>
    </w:rPr>
  </w:style>
  <w:style w:type="paragraph" w:styleId="Heading1">
    <w:name w:val="heading 1"/>
    <w:basedOn w:val="Normal"/>
    <w:next w:val="Normal"/>
    <w:qFormat/>
    <w:rsid w:val="0052255D"/>
    <w:pPr>
      <w:keepNext/>
      <w:spacing w:before="140" w:line="240" w:lineRule="atLeast"/>
      <w:jc w:val="center"/>
      <w:outlineLvl w:val="0"/>
    </w:pPr>
    <w:rPr>
      <w:b/>
      <w:smallCaps/>
    </w:rPr>
  </w:style>
  <w:style w:type="paragraph" w:styleId="Heading2">
    <w:name w:val="heading 2"/>
    <w:basedOn w:val="Normal"/>
    <w:next w:val="Normal"/>
    <w:link w:val="Heading2Char"/>
    <w:qFormat/>
    <w:rsid w:val="0052255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52255D"/>
    <w:pPr>
      <w:keepNext/>
      <w:tabs>
        <w:tab w:val="left" w:pos="1584"/>
      </w:tabs>
      <w:spacing w:before="140" w:line="240" w:lineRule="atLeast"/>
      <w:ind w:left="1584" w:hanging="432"/>
      <w:jc w:val="left"/>
      <w:outlineLvl w:val="2"/>
    </w:pPr>
    <w:rPr>
      <w:i/>
    </w:rPr>
  </w:style>
  <w:style w:type="paragraph" w:styleId="Heading4">
    <w:name w:val="heading 4"/>
    <w:basedOn w:val="Normal"/>
    <w:rsid w:val="0052255D"/>
    <w:pPr>
      <w:keepNext/>
      <w:tabs>
        <w:tab w:val="left" w:pos="2016"/>
      </w:tabs>
      <w:spacing w:before="140" w:line="240" w:lineRule="atLeast"/>
      <w:ind w:left="2016" w:hanging="432"/>
      <w:jc w:val="left"/>
      <w:outlineLvl w:val="3"/>
    </w:pPr>
    <w:rPr>
      <w:i/>
    </w:rPr>
  </w:style>
  <w:style w:type="paragraph" w:styleId="Heading5">
    <w:name w:val="heading 5"/>
    <w:basedOn w:val="Normal"/>
    <w:rsid w:val="0052255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52255D"/>
    <w:pPr>
      <w:ind w:left="720"/>
    </w:pPr>
  </w:style>
  <w:style w:type="paragraph" w:styleId="Footer">
    <w:name w:val="footer"/>
    <w:basedOn w:val="Normal"/>
    <w:link w:val="FooterChar"/>
    <w:qFormat/>
    <w:rsid w:val="0052255D"/>
    <w:pPr>
      <w:tabs>
        <w:tab w:val="center" w:pos="3960"/>
        <w:tab w:val="right" w:pos="10080"/>
      </w:tabs>
      <w:spacing w:after="0" w:line="240" w:lineRule="auto"/>
      <w:jc w:val="center"/>
    </w:pPr>
    <w:rPr>
      <w:sz w:val="22"/>
    </w:rPr>
  </w:style>
  <w:style w:type="paragraph" w:styleId="Header">
    <w:name w:val="header"/>
    <w:basedOn w:val="Normal"/>
    <w:qFormat/>
    <w:rsid w:val="0052255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52255D"/>
    <w:rPr>
      <w:rFonts w:ascii="Century Schoolbook" w:hAnsi="Century Schoolbook"/>
      <w:b/>
      <w:i w:val="0"/>
      <w:position w:val="4"/>
      <w:sz w:val="27"/>
      <w:vertAlign w:val="superscript"/>
    </w:rPr>
  </w:style>
  <w:style w:type="paragraph" w:styleId="FootnoteText">
    <w:name w:val="footnote text"/>
    <w:basedOn w:val="Normal"/>
    <w:link w:val="FootnoteTextChar"/>
    <w:uiPriority w:val="99"/>
    <w:rsid w:val="0052255D"/>
    <w:pPr>
      <w:spacing w:line="300" w:lineRule="exact"/>
    </w:pPr>
  </w:style>
  <w:style w:type="paragraph" w:customStyle="1" w:styleId="Title1">
    <w:name w:val="Title1"/>
    <w:basedOn w:val="Normal"/>
    <w:rsid w:val="0052255D"/>
    <w:pPr>
      <w:tabs>
        <w:tab w:val="left" w:pos="5760"/>
        <w:tab w:val="left" w:pos="6480"/>
      </w:tabs>
      <w:spacing w:line="240" w:lineRule="atLeast"/>
    </w:pPr>
  </w:style>
  <w:style w:type="paragraph" w:customStyle="1" w:styleId="Recommend">
    <w:name w:val="Recommend"/>
    <w:basedOn w:val="Normal"/>
    <w:rsid w:val="0052255D"/>
  </w:style>
  <w:style w:type="paragraph" w:customStyle="1" w:styleId="Summary">
    <w:name w:val="Summary"/>
    <w:basedOn w:val="Normal"/>
    <w:rsid w:val="0052255D"/>
    <w:pPr>
      <w:ind w:left="2160" w:hanging="2160"/>
    </w:pPr>
  </w:style>
  <w:style w:type="paragraph" w:customStyle="1" w:styleId="Text">
    <w:name w:val="Text"/>
    <w:basedOn w:val="Normal"/>
    <w:link w:val="TextChar"/>
    <w:rsid w:val="0052255D"/>
    <w:pPr>
      <w:tabs>
        <w:tab w:val="left" w:pos="720"/>
        <w:tab w:val="left" w:pos="1440"/>
        <w:tab w:val="left" w:pos="2160"/>
        <w:tab w:val="center" w:pos="4320"/>
      </w:tabs>
      <w:spacing w:line="480" w:lineRule="atLeast"/>
      <w:ind w:firstLine="540"/>
    </w:pPr>
  </w:style>
  <w:style w:type="paragraph" w:styleId="Date">
    <w:name w:val="Date"/>
    <w:basedOn w:val="Normal"/>
    <w:semiHidden/>
    <w:rsid w:val="0052255D"/>
    <w:pPr>
      <w:jc w:val="right"/>
    </w:pPr>
  </w:style>
  <w:style w:type="character" w:styleId="PageNumber">
    <w:name w:val="page number"/>
    <w:basedOn w:val="DefaultParagraphFont"/>
    <w:semiHidden/>
    <w:rsid w:val="0052255D"/>
  </w:style>
  <w:style w:type="paragraph" w:customStyle="1" w:styleId="subject">
    <w:name w:val="subject"/>
    <w:basedOn w:val="Normal"/>
    <w:rsid w:val="0052255D"/>
    <w:pPr>
      <w:tabs>
        <w:tab w:val="left" w:pos="1008"/>
      </w:tabs>
      <w:ind w:left="990" w:hanging="990"/>
    </w:pPr>
    <w:rPr>
      <w:b/>
    </w:rPr>
  </w:style>
  <w:style w:type="paragraph" w:customStyle="1" w:styleId="Titles">
    <w:name w:val="Titles"/>
    <w:basedOn w:val="Normal"/>
    <w:rsid w:val="0052255D"/>
    <w:pPr>
      <w:tabs>
        <w:tab w:val="left" w:pos="2160"/>
      </w:tabs>
      <w:ind w:left="2160" w:hanging="2160"/>
    </w:pPr>
    <w:rPr>
      <w:b/>
    </w:rPr>
  </w:style>
  <w:style w:type="paragraph" w:styleId="TOAHeading">
    <w:name w:val="toa heading"/>
    <w:basedOn w:val="Normal"/>
    <w:next w:val="Normal"/>
    <w:semiHidden/>
    <w:rsid w:val="0052255D"/>
    <w:pPr>
      <w:spacing w:before="120"/>
    </w:pPr>
    <w:rPr>
      <w:b/>
    </w:rPr>
  </w:style>
  <w:style w:type="paragraph" w:styleId="TOC1">
    <w:name w:val="toc 1"/>
    <w:basedOn w:val="Normal"/>
    <w:next w:val="Normal"/>
    <w:autoRedefine/>
    <w:rsid w:val="0052255D"/>
  </w:style>
  <w:style w:type="paragraph" w:styleId="TOC2">
    <w:name w:val="toc 2"/>
    <w:basedOn w:val="Normal"/>
    <w:next w:val="Normal"/>
    <w:autoRedefine/>
    <w:rsid w:val="0052255D"/>
    <w:pPr>
      <w:ind w:left="259"/>
    </w:pPr>
  </w:style>
  <w:style w:type="paragraph" w:styleId="TOC3">
    <w:name w:val="toc 3"/>
    <w:basedOn w:val="Normal"/>
    <w:next w:val="Normal"/>
    <w:autoRedefine/>
    <w:rsid w:val="0052255D"/>
    <w:pPr>
      <w:ind w:left="520"/>
    </w:pPr>
  </w:style>
  <w:style w:type="paragraph" w:styleId="TOC4">
    <w:name w:val="toc 4"/>
    <w:basedOn w:val="Normal"/>
    <w:next w:val="Normal"/>
    <w:autoRedefine/>
    <w:rsid w:val="0052255D"/>
    <w:pPr>
      <w:ind w:left="780"/>
    </w:pPr>
  </w:style>
  <w:style w:type="paragraph" w:styleId="TOC5">
    <w:name w:val="toc 5"/>
    <w:basedOn w:val="Normal"/>
    <w:next w:val="Normal"/>
    <w:autoRedefine/>
    <w:rsid w:val="0052255D"/>
    <w:pPr>
      <w:ind w:left="1040"/>
    </w:pPr>
  </w:style>
  <w:style w:type="paragraph" w:styleId="TOC6">
    <w:name w:val="toc 6"/>
    <w:basedOn w:val="Normal"/>
    <w:next w:val="Normal"/>
    <w:autoRedefine/>
    <w:semiHidden/>
    <w:rsid w:val="0052255D"/>
    <w:pPr>
      <w:ind w:left="1300"/>
    </w:pPr>
  </w:style>
  <w:style w:type="paragraph" w:styleId="TOC7">
    <w:name w:val="toc 7"/>
    <w:basedOn w:val="Normal"/>
    <w:next w:val="Normal"/>
    <w:autoRedefine/>
    <w:semiHidden/>
    <w:rsid w:val="0052255D"/>
    <w:pPr>
      <w:ind w:left="1560"/>
    </w:pPr>
  </w:style>
  <w:style w:type="paragraph" w:styleId="TOC8">
    <w:name w:val="toc 8"/>
    <w:basedOn w:val="Normal"/>
    <w:next w:val="Normal"/>
    <w:autoRedefine/>
    <w:semiHidden/>
    <w:rsid w:val="0052255D"/>
    <w:pPr>
      <w:ind w:left="1820"/>
    </w:pPr>
  </w:style>
  <w:style w:type="paragraph" w:styleId="TOC9">
    <w:name w:val="toc 9"/>
    <w:basedOn w:val="Normal"/>
    <w:next w:val="Normal"/>
    <w:autoRedefine/>
    <w:semiHidden/>
    <w:rsid w:val="0052255D"/>
    <w:pPr>
      <w:ind w:left="2080"/>
    </w:pPr>
  </w:style>
  <w:style w:type="paragraph" w:customStyle="1" w:styleId="Contents">
    <w:name w:val="Contents"/>
    <w:basedOn w:val="Normal"/>
    <w:rsid w:val="0052255D"/>
    <w:pPr>
      <w:jc w:val="center"/>
    </w:pPr>
    <w:rPr>
      <w:b/>
      <w:spacing w:val="100"/>
    </w:rPr>
  </w:style>
  <w:style w:type="character" w:styleId="Hyperlink">
    <w:name w:val="Hyperlink"/>
    <w:basedOn w:val="DefaultParagraphFont"/>
    <w:uiPriority w:val="99"/>
    <w:unhideWhenUsed/>
    <w:rsid w:val="0060685E"/>
    <w:rPr>
      <w:color w:val="0000FF"/>
      <w:u w:val="single"/>
    </w:rPr>
  </w:style>
  <w:style w:type="character" w:styleId="Emphasis">
    <w:name w:val="Emphasis"/>
    <w:basedOn w:val="DefaultParagraphFont"/>
    <w:uiPriority w:val="20"/>
    <w:qFormat/>
    <w:rsid w:val="0060685E"/>
    <w:rPr>
      <w:i/>
      <w:iCs/>
    </w:rPr>
  </w:style>
  <w:style w:type="character" w:customStyle="1" w:styleId="costarpage">
    <w:name w:val="co_starpage"/>
    <w:basedOn w:val="DefaultParagraphFont"/>
    <w:rsid w:val="0060685E"/>
  </w:style>
  <w:style w:type="paragraph" w:customStyle="1" w:styleId="Body">
    <w:name w:val="Body"/>
    <w:rsid w:val="00DA56A7"/>
    <w:pPr>
      <w:pBdr>
        <w:top w:val="nil"/>
        <w:left w:val="nil"/>
        <w:bottom w:val="nil"/>
        <w:right w:val="nil"/>
        <w:between w:val="nil"/>
        <w:bar w:val="nil"/>
      </w:pBdr>
    </w:pPr>
    <w:rPr>
      <w:rFonts w:eastAsia="Arial Unicode MS" w:cs="Arial Unicode MS"/>
      <w:color w:val="000000"/>
      <w:sz w:val="26"/>
      <w:szCs w:val="26"/>
      <w:u w:color="000000"/>
      <w:bdr w:val="nil"/>
      <w14:textOutline>
        <w14:noFill/>
        <w14:bevel/>
      </w14:textOutline>
    </w:rPr>
  </w:style>
  <w:style w:type="character" w:styleId="CommentReference">
    <w:name w:val="annotation reference"/>
    <w:basedOn w:val="DefaultParagraphFont"/>
    <w:uiPriority w:val="99"/>
    <w:semiHidden/>
    <w:unhideWhenUsed/>
    <w:rsid w:val="00FA0056"/>
    <w:rPr>
      <w:sz w:val="16"/>
      <w:szCs w:val="16"/>
    </w:rPr>
  </w:style>
  <w:style w:type="paragraph" w:styleId="CommentText">
    <w:name w:val="annotation text"/>
    <w:basedOn w:val="Normal"/>
    <w:link w:val="CommentTextChar"/>
    <w:uiPriority w:val="99"/>
    <w:unhideWhenUsed/>
    <w:rsid w:val="00FA0056"/>
    <w:rPr>
      <w:sz w:val="20"/>
    </w:rPr>
  </w:style>
  <w:style w:type="character" w:customStyle="1" w:styleId="CommentTextChar">
    <w:name w:val="Comment Text Char"/>
    <w:basedOn w:val="DefaultParagraphFont"/>
    <w:link w:val="CommentText"/>
    <w:uiPriority w:val="99"/>
    <w:rsid w:val="00FA0056"/>
  </w:style>
  <w:style w:type="paragraph" w:styleId="CommentSubject">
    <w:name w:val="annotation subject"/>
    <w:basedOn w:val="CommentText"/>
    <w:next w:val="CommentText"/>
    <w:link w:val="CommentSubjectChar"/>
    <w:uiPriority w:val="99"/>
    <w:semiHidden/>
    <w:unhideWhenUsed/>
    <w:rsid w:val="00FA0056"/>
    <w:rPr>
      <w:b/>
      <w:bCs/>
    </w:rPr>
  </w:style>
  <w:style w:type="character" w:customStyle="1" w:styleId="CommentSubjectChar">
    <w:name w:val="Comment Subject Char"/>
    <w:basedOn w:val="CommentTextChar"/>
    <w:link w:val="CommentSubject"/>
    <w:uiPriority w:val="99"/>
    <w:semiHidden/>
    <w:rsid w:val="00FA0056"/>
    <w:rPr>
      <w:b/>
      <w:bCs/>
    </w:rPr>
  </w:style>
  <w:style w:type="character" w:customStyle="1" w:styleId="coinlinekeyciteflag">
    <w:name w:val="co_inlinekeyciteflag"/>
    <w:basedOn w:val="DefaultParagraphFont"/>
    <w:rsid w:val="00716209"/>
  </w:style>
  <w:style w:type="character" w:customStyle="1" w:styleId="cohighlightpoints">
    <w:name w:val="co_highlightpoints"/>
    <w:basedOn w:val="DefaultParagraphFont"/>
    <w:rsid w:val="00716209"/>
  </w:style>
  <w:style w:type="character" w:customStyle="1" w:styleId="cosearchterm">
    <w:name w:val="co_searchterm"/>
    <w:basedOn w:val="DefaultParagraphFont"/>
    <w:rsid w:val="00716209"/>
  </w:style>
  <w:style w:type="character" w:customStyle="1" w:styleId="copinpointicon">
    <w:name w:val="co_pinpointicon"/>
    <w:basedOn w:val="DefaultParagraphFont"/>
    <w:rsid w:val="00CC6075"/>
  </w:style>
  <w:style w:type="character" w:customStyle="1" w:styleId="Heading2Char">
    <w:name w:val="Heading 2 Char"/>
    <w:basedOn w:val="DefaultParagraphFont"/>
    <w:link w:val="Heading2"/>
    <w:rsid w:val="0050548A"/>
    <w:rPr>
      <w:rFonts w:ascii="Century Schoolbook" w:hAnsi="Century Schoolbook"/>
      <w:b/>
      <w:sz w:val="27"/>
    </w:rPr>
  </w:style>
  <w:style w:type="paragraph" w:styleId="ListParagraph">
    <w:name w:val="List Paragraph"/>
    <w:basedOn w:val="Normal"/>
    <w:uiPriority w:val="34"/>
    <w:qFormat/>
    <w:rsid w:val="00075ECC"/>
    <w:pPr>
      <w:ind w:left="720"/>
      <w:contextualSpacing/>
    </w:pPr>
  </w:style>
  <w:style w:type="character" w:styleId="FollowedHyperlink">
    <w:name w:val="FollowedHyperlink"/>
    <w:basedOn w:val="DefaultParagraphFont"/>
    <w:uiPriority w:val="99"/>
    <w:semiHidden/>
    <w:unhideWhenUsed/>
    <w:rsid w:val="00433527"/>
    <w:rPr>
      <w:color w:val="800080" w:themeColor="followedHyperlink"/>
      <w:u w:val="single"/>
    </w:rPr>
  </w:style>
  <w:style w:type="character" w:customStyle="1" w:styleId="FooterChar">
    <w:name w:val="Footer Char"/>
    <w:basedOn w:val="DefaultParagraphFont"/>
    <w:link w:val="Footer"/>
    <w:rsid w:val="00F23BD9"/>
    <w:rPr>
      <w:rFonts w:ascii="Century Schoolbook" w:hAnsi="Century Schoolbook"/>
      <w:sz w:val="22"/>
    </w:rPr>
  </w:style>
  <w:style w:type="paragraph" w:styleId="Revision">
    <w:name w:val="Revision"/>
    <w:hidden/>
    <w:uiPriority w:val="99"/>
    <w:semiHidden/>
    <w:rsid w:val="006E39DB"/>
    <w:rPr>
      <w:sz w:val="26"/>
    </w:rPr>
  </w:style>
  <w:style w:type="paragraph" w:styleId="BodyText">
    <w:name w:val="Body Text"/>
    <w:basedOn w:val="Normal"/>
    <w:link w:val="BodyTextChar"/>
    <w:qFormat/>
    <w:rsid w:val="0052255D"/>
  </w:style>
  <w:style w:type="character" w:customStyle="1" w:styleId="BodyTextChar">
    <w:name w:val="Body Text Char"/>
    <w:basedOn w:val="DefaultParagraphFont"/>
    <w:link w:val="BodyText"/>
    <w:rsid w:val="0052255D"/>
    <w:rPr>
      <w:rFonts w:ascii="Century Schoolbook" w:hAnsi="Century Schoolbook"/>
      <w:sz w:val="27"/>
    </w:rPr>
  </w:style>
  <w:style w:type="character" w:customStyle="1" w:styleId="TextChar">
    <w:name w:val="Text Char"/>
    <w:link w:val="Text"/>
    <w:rsid w:val="00FB3E90"/>
    <w:rPr>
      <w:rFonts w:ascii="Century Schoolbook" w:hAnsi="Century Schoolbook"/>
      <w:sz w:val="27"/>
    </w:rPr>
  </w:style>
  <w:style w:type="character" w:customStyle="1" w:styleId="FootnoteTextChar">
    <w:name w:val="Footnote Text Char"/>
    <w:basedOn w:val="DefaultParagraphFont"/>
    <w:link w:val="FootnoteText"/>
    <w:uiPriority w:val="99"/>
    <w:rsid w:val="00887B33"/>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header" Target="header6.xml" /><Relationship Id="rId15" Type="http://schemas.openxmlformats.org/officeDocument/2006/relationships/footer" Target="footer5.xml" /><Relationship Id="rId16" Type="http://schemas.openxmlformats.org/officeDocument/2006/relationships/footer" Target="footer6.xml" /><Relationship Id="rId17" Type="http://schemas.openxmlformats.org/officeDocument/2006/relationships/theme" Target="theme/theme1.xml" /><Relationship Id="rId18" Type="http://schemas.openxmlformats.org/officeDocument/2006/relationships/numbering" Target="numbering.xml" /><Relationship Id="rId19"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25459</Words>
  <Characters>145117</Characters>
  <Application>Microsoft Office Word</Application>
  <DocSecurity>0</DocSecurity>
  <Lines>1209</Lines>
  <Paragraphs>340</Paragraphs>
  <ScaleCrop>false</ScaleCrop>
  <Company/>
  <LinksUpToDate>false</LinksUpToDate>
  <CharactersWithSpaces>170236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2022-07-21T16:14:24Z</dcterms:created>
  <dcterms:modified xsi:type="dcterms:W3CDTF">2022-07-21T16:14:24Z</dcterms:modified>
</cp:coreProperties>
</file>