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B5" w:rsidRPr="006A572F" w:rsidRDefault="00497339" w:rsidP="009357B5">
      <w:pPr>
        <w:spacing w:line="240" w:lineRule="auto"/>
        <w:rPr>
          <w:sz w:val="20"/>
        </w:rPr>
      </w:pPr>
      <w:bookmarkStart w:id="0" w:name="_GoBack"/>
      <w:bookmarkEnd w:id="0"/>
      <w:r w:rsidRPr="006A572F">
        <w:rPr>
          <w:sz w:val="20"/>
        </w:rPr>
        <w:t>Filed 5/22/17</w:t>
      </w:r>
    </w:p>
    <w:p w:rsidR="009357B5" w:rsidRDefault="00497339" w:rsidP="009357B5">
      <w:pPr>
        <w:spacing w:line="240" w:lineRule="auto"/>
        <w:jc w:val="center"/>
        <w:rPr>
          <w:b/>
        </w:rPr>
      </w:pPr>
      <w:r>
        <w:rPr>
          <w:b/>
        </w:rPr>
        <w:t>CERTIFIED FOR PUBLICATION</w:t>
      </w:r>
    </w:p>
    <w:p w:rsidR="009357B5" w:rsidRDefault="00497339" w:rsidP="009357B5">
      <w:pPr>
        <w:spacing w:line="240" w:lineRule="auto"/>
        <w:jc w:val="center"/>
      </w:pPr>
    </w:p>
    <w:p w:rsidR="000B1558" w:rsidRDefault="00497339" w:rsidP="009357B5">
      <w:pPr>
        <w:spacing w:line="240" w:lineRule="auto"/>
        <w:jc w:val="center"/>
      </w:pPr>
      <w:r>
        <w:t>IN THE COURT OF APPEAL OF THE STATE OF CALIFORNIA</w:t>
      </w:r>
    </w:p>
    <w:p w:rsidR="00EB3202" w:rsidRDefault="00497339" w:rsidP="00EB3202">
      <w:pPr>
        <w:spacing w:line="240" w:lineRule="auto"/>
        <w:jc w:val="center"/>
      </w:pPr>
    </w:p>
    <w:p w:rsidR="00EB3202" w:rsidRDefault="00497339" w:rsidP="00EB3202">
      <w:pPr>
        <w:spacing w:line="240" w:lineRule="auto"/>
        <w:jc w:val="center"/>
      </w:pPr>
      <w:r>
        <w:t>FIRST APPELLATE DISTRICT</w:t>
      </w:r>
    </w:p>
    <w:p w:rsidR="00EB3202" w:rsidRDefault="00497339" w:rsidP="00EB3202">
      <w:pPr>
        <w:spacing w:line="240" w:lineRule="auto"/>
        <w:jc w:val="center"/>
      </w:pPr>
    </w:p>
    <w:p w:rsidR="00EB3202" w:rsidRDefault="00497339" w:rsidP="00EB3202">
      <w:pPr>
        <w:spacing w:line="240" w:lineRule="auto"/>
        <w:jc w:val="center"/>
      </w:pPr>
      <w:r>
        <w:t>DIVISION FOUR</w:t>
      </w:r>
    </w:p>
    <w:p w:rsidR="00EB3202" w:rsidRDefault="00497339" w:rsidP="00EB3202">
      <w:pPr>
        <w:spacing w:line="240" w:lineRule="auto"/>
        <w:jc w:val="center"/>
      </w:pPr>
    </w:p>
    <w:p w:rsidR="00EB3202" w:rsidRDefault="00497339" w:rsidP="00EB3202">
      <w:pPr>
        <w:spacing w:line="240" w:lineRule="auto"/>
        <w:jc w:val="center"/>
      </w:pPr>
    </w:p>
    <w:tbl>
      <w:tblPr>
        <w:tblW w:w="0" w:type="auto"/>
        <w:tblLayout w:type="fixed"/>
        <w:tblLook w:val="0000" w:firstRow="0" w:lastRow="0" w:firstColumn="0" w:lastColumn="0" w:noHBand="0" w:noVBand="0"/>
      </w:tblPr>
      <w:tblGrid>
        <w:gridCol w:w="4680"/>
        <w:gridCol w:w="4680"/>
      </w:tblGrid>
      <w:tr w:rsidR="000D27D1" w:rsidTr="00EB3202">
        <w:tc>
          <w:tcPr>
            <w:tcW w:w="4680" w:type="dxa"/>
            <w:tcBorders>
              <w:bottom w:val="single" w:sz="4" w:space="0" w:color="auto"/>
              <w:right w:val="single" w:sz="4" w:space="0" w:color="auto"/>
            </w:tcBorders>
            <w:shd w:val="clear" w:color="auto" w:fill="auto"/>
          </w:tcPr>
          <w:p w:rsidR="00EB3202" w:rsidRDefault="00497339" w:rsidP="00EB3202">
            <w:pPr>
              <w:spacing w:after="120" w:line="240" w:lineRule="auto"/>
            </w:pPr>
            <w:r>
              <w:t>JAMES N. HARDWICK,</w:t>
            </w:r>
          </w:p>
          <w:p w:rsidR="00EB3202" w:rsidRDefault="00497339" w:rsidP="00C22116">
            <w:pPr>
              <w:spacing w:after="120" w:line="240" w:lineRule="auto"/>
              <w:ind w:left="720"/>
            </w:pPr>
            <w:r>
              <w:t>Plaintiff, Cross</w:t>
            </w:r>
            <w:r>
              <w:t>-</w:t>
            </w:r>
            <w:r>
              <w:t>Defendant and Respondent,</w:t>
            </w:r>
          </w:p>
          <w:p w:rsidR="00EB3202" w:rsidRDefault="00497339" w:rsidP="00EB3202">
            <w:pPr>
              <w:spacing w:after="120" w:line="240" w:lineRule="auto"/>
            </w:pPr>
            <w:r>
              <w:t>v.</w:t>
            </w:r>
          </w:p>
          <w:p w:rsidR="00EB3202" w:rsidRDefault="00497339" w:rsidP="00EB3202">
            <w:pPr>
              <w:spacing w:after="120" w:line="240" w:lineRule="auto"/>
            </w:pPr>
            <w:r>
              <w:t>ALBERT P. WILCOX,</w:t>
            </w:r>
          </w:p>
          <w:p w:rsidR="00EB3202" w:rsidRDefault="00497339" w:rsidP="00EB4DCF">
            <w:pPr>
              <w:spacing w:after="120" w:line="240" w:lineRule="auto"/>
              <w:ind w:left="720"/>
            </w:pPr>
            <w:r>
              <w:t>Defendant, Cross</w:t>
            </w:r>
            <w:r>
              <w:t>-</w:t>
            </w:r>
            <w:r>
              <w:t xml:space="preserve">Complainant and </w:t>
            </w:r>
            <w:r>
              <w:t>Appellant.</w:t>
            </w:r>
          </w:p>
        </w:tc>
        <w:tc>
          <w:tcPr>
            <w:tcW w:w="4680" w:type="dxa"/>
            <w:tcBorders>
              <w:left w:val="single" w:sz="4" w:space="0" w:color="auto"/>
            </w:tcBorders>
            <w:shd w:val="clear" w:color="auto" w:fill="auto"/>
          </w:tcPr>
          <w:p w:rsidR="00EB3202" w:rsidRDefault="00497339" w:rsidP="00EB3202">
            <w:pPr>
              <w:spacing w:line="240" w:lineRule="auto"/>
            </w:pPr>
          </w:p>
          <w:p w:rsidR="00EB3202" w:rsidRDefault="00497339" w:rsidP="00EB3202">
            <w:pPr>
              <w:spacing w:line="240" w:lineRule="auto"/>
            </w:pPr>
          </w:p>
          <w:p w:rsidR="00EB3202" w:rsidRDefault="00497339" w:rsidP="00EB3202">
            <w:pPr>
              <w:spacing w:line="240" w:lineRule="auto"/>
            </w:pPr>
            <w:r>
              <w:t xml:space="preserve">      A147944</w:t>
            </w:r>
          </w:p>
          <w:p w:rsidR="00EB3202" w:rsidRDefault="00497339" w:rsidP="00EB3202">
            <w:pPr>
              <w:spacing w:line="240" w:lineRule="auto"/>
            </w:pPr>
          </w:p>
          <w:p w:rsidR="00EB3202" w:rsidRDefault="00497339" w:rsidP="00EB3202">
            <w:pPr>
              <w:spacing w:line="240" w:lineRule="auto"/>
            </w:pPr>
            <w:r>
              <w:t xml:space="preserve">      (Alameda County</w:t>
            </w:r>
          </w:p>
          <w:p w:rsidR="00EB3202" w:rsidRDefault="00497339" w:rsidP="00EB3202">
            <w:pPr>
              <w:spacing w:line="240" w:lineRule="auto"/>
            </w:pPr>
            <w:r>
              <w:t xml:space="preserve">      Super. Ct. No. RG13676258)</w:t>
            </w:r>
          </w:p>
          <w:p w:rsidR="00EB3202" w:rsidRDefault="00497339" w:rsidP="00EB3202">
            <w:pPr>
              <w:spacing w:line="240" w:lineRule="auto"/>
            </w:pPr>
          </w:p>
        </w:tc>
      </w:tr>
    </w:tbl>
    <w:p w:rsidR="00EB3202" w:rsidRDefault="00497339" w:rsidP="00EB3202">
      <w:pPr>
        <w:spacing w:line="360" w:lineRule="auto"/>
      </w:pPr>
    </w:p>
    <w:p w:rsidR="008760C4" w:rsidRPr="008760C4" w:rsidRDefault="00497339" w:rsidP="009E6FE4">
      <w:pPr>
        <w:keepNext/>
        <w:spacing w:line="360" w:lineRule="auto"/>
        <w:jc w:val="center"/>
        <w:rPr>
          <w:b/>
        </w:rPr>
      </w:pPr>
      <w:r w:rsidRPr="008760C4">
        <w:rPr>
          <w:b/>
        </w:rPr>
        <w:t>I.  INTRODUCTION</w:t>
      </w:r>
    </w:p>
    <w:p w:rsidR="004C1809" w:rsidRDefault="00497339" w:rsidP="00EB3202">
      <w:pPr>
        <w:spacing w:line="360" w:lineRule="auto"/>
      </w:pPr>
      <w:r>
        <w:tab/>
      </w:r>
      <w:r>
        <w:t>Between 1999 and 2010,</w:t>
      </w:r>
      <w:r>
        <w:t xml:space="preserve"> Albert Wilcox </w:t>
      </w:r>
      <w:r>
        <w:t>made a series of loans to</w:t>
      </w:r>
      <w:r>
        <w:t xml:space="preserve"> James Hardwick.  </w:t>
      </w:r>
      <w:r>
        <w:t>In 201</w:t>
      </w:r>
      <w:r>
        <w:t>3</w:t>
      </w:r>
      <w:r>
        <w:t xml:space="preserve">, </w:t>
      </w:r>
      <w:r>
        <w:t xml:space="preserve">Hardwick </w:t>
      </w:r>
      <w:r>
        <w:t xml:space="preserve">filed this action </w:t>
      </w:r>
      <w:r>
        <w:t xml:space="preserve">to recover usurious interest and </w:t>
      </w:r>
      <w:r>
        <w:t>prevent Wilcox from foreclosing on</w:t>
      </w:r>
      <w:r>
        <w:t xml:space="preserve"> property </w:t>
      </w:r>
      <w:r>
        <w:t>securing his</w:t>
      </w:r>
      <w:r>
        <w:t xml:space="preserve"> loans.  Wilcox counter</w:t>
      </w:r>
      <w:r>
        <w:t xml:space="preserve">sued for breach of contract and judicial foreclosure.  The trial court entered judgment in favor of Hardwick, finding, among other things, that usurious interest </w:t>
      </w:r>
      <w:r>
        <w:t>payments</w:t>
      </w:r>
      <w:r>
        <w:t xml:space="preserve"> </w:t>
      </w:r>
      <w:r>
        <w:t>made o</w:t>
      </w:r>
      <w:r>
        <w:t>ver the course of the relationship offset</w:t>
      </w:r>
      <w:r>
        <w:t xml:space="preserve"> the principal debt</w:t>
      </w:r>
      <w:r>
        <w:t>,</w:t>
      </w:r>
      <w:r>
        <w:t xml:space="preserve"> and </w:t>
      </w:r>
      <w:r>
        <w:t xml:space="preserve">that Hardwick could recover </w:t>
      </w:r>
      <w:r>
        <w:t>$227,235.83</w:t>
      </w:r>
      <w:r>
        <w:t xml:space="preserve"> </w:t>
      </w:r>
      <w:r>
        <w:t>in</w:t>
      </w:r>
      <w:r>
        <w:t xml:space="preserve"> interest payments he made during the two years prior to the filing of this lawsuit.</w:t>
      </w:r>
    </w:p>
    <w:p w:rsidR="008760C4" w:rsidRDefault="00497339" w:rsidP="00EB3202">
      <w:pPr>
        <w:spacing w:line="360" w:lineRule="auto"/>
      </w:pPr>
      <w:r>
        <w:tab/>
      </w:r>
      <w:r>
        <w:t xml:space="preserve">On appeal, Wilcox contends the judgment must be reversed </w:t>
      </w:r>
      <w:r>
        <w:t>because (1)</w:t>
      </w:r>
      <w:r>
        <w:t> </w:t>
      </w:r>
      <w:r>
        <w:t xml:space="preserve">Hardwick waived his usury claim </w:t>
      </w:r>
      <w:r>
        <w:t>with respect to any loan payment he made prior to April 2012</w:t>
      </w:r>
      <w:r>
        <w:t>; and (2)</w:t>
      </w:r>
      <w:r>
        <w:t> </w:t>
      </w:r>
      <w:r>
        <w:t>the statute of limitations bars Hardwick</w:t>
      </w:r>
      <w:r>
        <w:t xml:space="preserve">’s claim with respect to any loan that was </w:t>
      </w:r>
      <w:r>
        <w:t>paid off more than two years before this lawsuit was filed.</w:t>
      </w:r>
      <w:r>
        <w:t xml:space="preserve">  </w:t>
      </w:r>
      <w:r>
        <w:t>We affirm the judgment.</w:t>
      </w:r>
    </w:p>
    <w:p w:rsidR="00E61FF5" w:rsidRPr="00E61FF5" w:rsidRDefault="00497339" w:rsidP="00C22116">
      <w:pPr>
        <w:keepNext/>
        <w:spacing w:line="360" w:lineRule="auto"/>
        <w:jc w:val="center"/>
        <w:rPr>
          <w:b/>
        </w:rPr>
      </w:pPr>
      <w:r w:rsidRPr="00E61FF5">
        <w:rPr>
          <w:b/>
        </w:rPr>
        <w:t>II.  CALIFORNIA USURY LAW</w:t>
      </w:r>
    </w:p>
    <w:p w:rsidR="00C958D9" w:rsidRDefault="00497339" w:rsidP="00C958D9">
      <w:pPr>
        <w:spacing w:line="360" w:lineRule="auto"/>
      </w:pPr>
      <w:r>
        <w:tab/>
        <w:t>“</w:t>
      </w:r>
      <w:r>
        <w:t> </w:t>
      </w:r>
      <w:r>
        <w:t xml:space="preserve">‘Usury is the exacting, taking or receiving of a greater rate than is allowed by law, for the use or loan of money.’  [Citation.]  A transaction is usurious if there is a loan </w:t>
      </w:r>
      <w:r>
        <w:lastRenderedPageBreak/>
        <w:t>at greater than the legal</w:t>
      </w:r>
      <w:r>
        <w:t xml:space="preserve"> rate of interest or an exaction at more than the legal rate for the forbearance of a debt or sum of money due.  [Citation.]”  (</w:t>
      </w:r>
      <w:r w:rsidRPr="00BB262A">
        <w:rPr>
          <w:i/>
        </w:rPr>
        <w:t>O’Connor v. Televideo Sys</w:t>
      </w:r>
      <w:r>
        <w:rPr>
          <w:i/>
        </w:rPr>
        <w:t>tem, Inc.</w:t>
      </w:r>
      <w:r>
        <w:t xml:space="preserve"> (1</w:t>
      </w:r>
      <w:r>
        <w:t>990) 218 Cal.App.3d 709, 713.)</w:t>
      </w:r>
    </w:p>
    <w:p w:rsidR="00E61FF5" w:rsidRDefault="00497339" w:rsidP="00C958D9">
      <w:pPr>
        <w:spacing w:line="360" w:lineRule="auto"/>
      </w:pPr>
      <w:r>
        <w:tab/>
        <w:t xml:space="preserve">“California Constitution, article XV, section 1 limits the </w:t>
      </w:r>
      <w:r>
        <w:t>interest rate for a ‘loan or forbearance’ of money not primarily for personal, family or household purposes, to the higher of: (1)</w:t>
      </w:r>
      <w:r>
        <w:t> </w:t>
      </w:r>
      <w:r>
        <w:t>10 percent per annum or (2)</w:t>
      </w:r>
      <w:r>
        <w:t> </w:t>
      </w:r>
      <w:r>
        <w:t>5 percent plus the rate of interest prevailing on the 25th day of the month preceding the earlier</w:t>
      </w:r>
      <w:r>
        <w:t xml:space="preserve"> of the date of the extension of the contract to make the loan or forbearance or the date of making the loan or forbearance, established by the Federal Reserve Bank of San Francisco on advances to member banks under sections 13 and 13(1) of the Federal Res</w:t>
      </w:r>
      <w:r>
        <w:t>erve Act.  [Citation.]”  (</w:t>
      </w:r>
      <w:r w:rsidRPr="00C958D9">
        <w:rPr>
          <w:i/>
        </w:rPr>
        <w:t>DCM Partners v. Smith</w:t>
      </w:r>
      <w:r>
        <w:t xml:space="preserve"> (1991) 228 Cal.App.3d 729, 733</w:t>
      </w:r>
      <w:r>
        <w:t xml:space="preserve">; see also </w:t>
      </w:r>
      <w:r w:rsidRPr="00C37BBE">
        <w:rPr>
          <w:i/>
        </w:rPr>
        <w:t>Southwest Concrete Products v. Gosh Construction Corp.</w:t>
      </w:r>
      <w:r>
        <w:t xml:space="preserve"> (1990) 51 Cal.3d 701, 705 [“The law of usury in California is based upon California Constitution article XV, sec</w:t>
      </w:r>
      <w:r>
        <w:t>tion 1, which limits the interest payable ‘[f]or any loan or forbearance of any money.’</w:t>
      </w:r>
      <w:r>
        <w:t> </w:t>
      </w:r>
      <w:r>
        <w:t>”</w:t>
      </w:r>
      <w:r>
        <w:t xml:space="preserve">  (Fn. omitted.)</w:t>
      </w:r>
      <w:r>
        <w:t>].</w:t>
      </w:r>
      <w:r>
        <w:t>)</w:t>
      </w:r>
    </w:p>
    <w:p w:rsidR="00E61FF5" w:rsidRDefault="00497339" w:rsidP="00EB3202">
      <w:pPr>
        <w:spacing w:line="360" w:lineRule="auto"/>
      </w:pPr>
      <w:r>
        <w:tab/>
        <w:t>“</w:t>
      </w:r>
      <w:r>
        <w:t> </w:t>
      </w:r>
      <w:r>
        <w:t>‘When a loan is usurious, the creditor is entitled to repayment of the principal sum only.  He is entitled to no interest whatsoever.  [Citation</w:t>
      </w:r>
      <w:r>
        <w:t xml:space="preserve">s.]’ </w:t>
      </w:r>
      <w:r>
        <w:t xml:space="preserve"> </w:t>
      </w:r>
      <w:r>
        <w:t>[Citation.]”  (</w:t>
      </w:r>
      <w:r w:rsidRPr="00783F54">
        <w:rPr>
          <w:i/>
        </w:rPr>
        <w:t>Gibbo v. Berger</w:t>
      </w:r>
      <w:r>
        <w:t xml:space="preserve"> (2004) 123 Cal.App.4th 396, 403.)</w:t>
      </w:r>
      <w:r>
        <w:t xml:space="preserve">  </w:t>
      </w:r>
      <w:r>
        <w:t>“The attempt to exact the usurious rate of interest renders the interest provisions of a note void.  [Citations.]”  (</w:t>
      </w:r>
      <w:r w:rsidRPr="001542CC">
        <w:rPr>
          <w:i/>
        </w:rPr>
        <w:t>Epstein v. Frank</w:t>
      </w:r>
      <w:r>
        <w:t xml:space="preserve"> (1981) 125 Cal.App.3d 111, 122</w:t>
      </w:r>
      <w:r>
        <w:noBreakHyphen/>
      </w:r>
      <w:r>
        <w:t xml:space="preserve">123.)  </w:t>
      </w:r>
      <w:r>
        <w:t>Furthermore,</w:t>
      </w:r>
      <w:r>
        <w:t xml:space="preserve"> interest payments that were made at the usurious rate should be credited against the principal balance in any action to collect </w:t>
      </w:r>
      <w:r>
        <w:t>on the note</w:t>
      </w:r>
      <w:r>
        <w:t>.  (</w:t>
      </w:r>
      <w:r w:rsidRPr="00EC697D">
        <w:rPr>
          <w:i/>
        </w:rPr>
        <w:t>Westman v. Dye</w:t>
      </w:r>
      <w:r>
        <w:t xml:space="preserve"> (1931) 214 Cal. 28, 31</w:t>
      </w:r>
      <w:r>
        <w:noBreakHyphen/>
      </w:r>
      <w:r>
        <w:t>38</w:t>
      </w:r>
      <w:r>
        <w:t xml:space="preserve"> (</w:t>
      </w:r>
      <w:r w:rsidRPr="00D80235">
        <w:rPr>
          <w:i/>
        </w:rPr>
        <w:t>Westman</w:t>
      </w:r>
      <w:r>
        <w:t>)</w:t>
      </w:r>
      <w:r>
        <w:t xml:space="preserve">; </w:t>
      </w:r>
      <w:r w:rsidRPr="003D3769">
        <w:rPr>
          <w:i/>
        </w:rPr>
        <w:t>District Bond Co. v</w:t>
      </w:r>
      <w:r>
        <w:rPr>
          <w:i/>
        </w:rPr>
        <w:t>.</w:t>
      </w:r>
      <w:r w:rsidRPr="003D3769">
        <w:rPr>
          <w:i/>
        </w:rPr>
        <w:t xml:space="preserve"> Haley</w:t>
      </w:r>
      <w:r>
        <w:t xml:space="preserve"> (1935) 2 Cal.2d 308, 311; </w:t>
      </w:r>
      <w:r w:rsidRPr="003D3769">
        <w:rPr>
          <w:i/>
        </w:rPr>
        <w:t>Paillet</w:t>
      </w:r>
      <w:r w:rsidRPr="003D3769">
        <w:rPr>
          <w:i/>
        </w:rPr>
        <w:t xml:space="preserve"> v. Vroman</w:t>
      </w:r>
      <w:r>
        <w:t xml:space="preserve"> (1942) 52 Cal.App.2d 297, 306</w:t>
      </w:r>
      <w:r>
        <w:noBreakHyphen/>
      </w:r>
      <w:r>
        <w:t xml:space="preserve">308; </w:t>
      </w:r>
      <w:r w:rsidRPr="00783F54">
        <w:rPr>
          <w:i/>
        </w:rPr>
        <w:t>Shirley v. Britt</w:t>
      </w:r>
      <w:r>
        <w:t xml:space="preserve"> (1957) 152 Cal.App.2d 666, 670</w:t>
      </w:r>
      <w:r>
        <w:t xml:space="preserve"> (</w:t>
      </w:r>
      <w:r w:rsidRPr="00D80235">
        <w:rPr>
          <w:i/>
        </w:rPr>
        <w:t>Shirley</w:t>
      </w:r>
      <w:r>
        <w:t>)</w:t>
      </w:r>
      <w:r>
        <w:t>.)</w:t>
      </w:r>
    </w:p>
    <w:p w:rsidR="009E6FE4" w:rsidRPr="009E6FE4" w:rsidRDefault="00497339" w:rsidP="009E6FE4">
      <w:pPr>
        <w:keepNext/>
        <w:spacing w:line="360" w:lineRule="auto"/>
        <w:jc w:val="center"/>
        <w:rPr>
          <w:b/>
        </w:rPr>
      </w:pPr>
      <w:r w:rsidRPr="009E6FE4">
        <w:rPr>
          <w:b/>
        </w:rPr>
        <w:t>II</w:t>
      </w:r>
      <w:r>
        <w:rPr>
          <w:b/>
        </w:rPr>
        <w:t>I</w:t>
      </w:r>
      <w:r w:rsidRPr="009E6FE4">
        <w:rPr>
          <w:b/>
        </w:rPr>
        <w:t>.  STATEMENT OF FACTS</w:t>
      </w:r>
    </w:p>
    <w:p w:rsidR="00881380" w:rsidRPr="00881380" w:rsidRDefault="00497339" w:rsidP="00881380">
      <w:pPr>
        <w:keepNext/>
        <w:spacing w:line="360" w:lineRule="auto"/>
        <w:rPr>
          <w:b/>
        </w:rPr>
      </w:pPr>
      <w:r>
        <w:tab/>
      </w:r>
      <w:r w:rsidRPr="00881380">
        <w:rPr>
          <w:b/>
        </w:rPr>
        <w:t>A.  Background</w:t>
      </w:r>
    </w:p>
    <w:p w:rsidR="000A3C00" w:rsidRDefault="00497339" w:rsidP="00831422">
      <w:pPr>
        <w:spacing w:line="360" w:lineRule="auto"/>
      </w:pPr>
      <w:r>
        <w:tab/>
      </w:r>
      <w:r>
        <w:t xml:space="preserve">As noted, Wilcox made </w:t>
      </w:r>
      <w:r>
        <w:t xml:space="preserve">several </w:t>
      </w:r>
      <w:r>
        <w:t xml:space="preserve">loans to Hardwick over a </w:t>
      </w:r>
      <w:r>
        <w:t>10</w:t>
      </w:r>
      <w:r>
        <w:t>-year period.</w:t>
      </w:r>
      <w:r>
        <w:t xml:space="preserve"> </w:t>
      </w:r>
      <w:r>
        <w:t xml:space="preserve"> Some of the</w:t>
      </w:r>
      <w:r>
        <w:t>se</w:t>
      </w:r>
      <w:r>
        <w:t xml:space="preserve"> loans were made by Wilcox in his individual capacity and others were made </w:t>
      </w:r>
      <w:r>
        <w:t xml:space="preserve">by “Pensco </w:t>
      </w:r>
      <w:r w:rsidRPr="00E0195A">
        <w:rPr>
          <w:i/>
        </w:rPr>
        <w:t>fbo</w:t>
      </w:r>
      <w:r>
        <w:t xml:space="preserve"> Wilcox,” a corporation </w:t>
      </w:r>
      <w:r>
        <w:t xml:space="preserve">that </w:t>
      </w:r>
      <w:r>
        <w:t xml:space="preserve">Wilcox used as a custodian for his </w:t>
      </w:r>
      <w:r>
        <w:t xml:space="preserve">self-directed </w:t>
      </w:r>
      <w:r>
        <w:lastRenderedPageBreak/>
        <w:t>Individual Retirement Account (IRA).</w:t>
      </w:r>
      <w:r>
        <w:t xml:space="preserve">  </w:t>
      </w:r>
      <w:r>
        <w:t xml:space="preserve">In the trial court Wilcox conceded </w:t>
      </w:r>
      <w:r>
        <w:t xml:space="preserve">that </w:t>
      </w:r>
      <w:r>
        <w:t xml:space="preserve">he is the </w:t>
      </w:r>
      <w:r>
        <w:t>real party in interest with</w:t>
      </w:r>
      <w:r>
        <w:t xml:space="preserve"> respect to all of these loans.</w:t>
      </w:r>
    </w:p>
    <w:p w:rsidR="00831422" w:rsidRDefault="00497339" w:rsidP="00831422">
      <w:pPr>
        <w:spacing w:line="360" w:lineRule="auto"/>
      </w:pPr>
      <w:r>
        <w:tab/>
      </w:r>
      <w:r>
        <w:t xml:space="preserve">All of the loans were evidenced by promissory notes or amendments to promissory notes and secured by deeds of trust to one or more of the following </w:t>
      </w:r>
      <w:r>
        <w:t>assets</w:t>
      </w:r>
      <w:r>
        <w:t xml:space="preserve">: </w:t>
      </w:r>
      <w:r>
        <w:t>(1)</w:t>
      </w:r>
      <w:r>
        <w:t> </w:t>
      </w:r>
      <w:r>
        <w:t xml:space="preserve">a commercial property consisting of </w:t>
      </w:r>
      <w:r>
        <w:t>six condominium units in San Leandro</w:t>
      </w:r>
      <w:r>
        <w:t>, referred to as the San Leandro property</w:t>
      </w:r>
      <w:r>
        <w:t>; (2)</w:t>
      </w:r>
      <w:r>
        <w:t> </w:t>
      </w:r>
      <w:r>
        <w:t>a retail shopping center in Fremont</w:t>
      </w:r>
      <w:r>
        <w:t>,</w:t>
      </w:r>
      <w:r>
        <w:t xml:space="preserve"> referred to as the Cabrillo Center</w:t>
      </w:r>
      <w:r>
        <w:t>; and (3)</w:t>
      </w:r>
      <w:r>
        <w:t> </w:t>
      </w:r>
      <w:r>
        <w:t xml:space="preserve">a </w:t>
      </w:r>
      <w:r>
        <w:t>commercial property in Fremont</w:t>
      </w:r>
      <w:r>
        <w:t>,</w:t>
      </w:r>
      <w:r>
        <w:t xml:space="preserve"> referred to as the Cabrillo Market.</w:t>
      </w:r>
    </w:p>
    <w:p w:rsidR="008E2ABF" w:rsidRDefault="00497339" w:rsidP="00EB3202">
      <w:pPr>
        <w:spacing w:line="360" w:lineRule="auto"/>
      </w:pPr>
      <w:r>
        <w:tab/>
        <w:t>In the lower court</w:t>
      </w:r>
      <w:r>
        <w:t>, t</w:t>
      </w:r>
      <w:r>
        <w:t xml:space="preserve">he parties stipulated to </w:t>
      </w:r>
      <w:r>
        <w:t xml:space="preserve">a reference system which identified </w:t>
      </w:r>
      <w:r>
        <w:t xml:space="preserve">nine </w:t>
      </w:r>
      <w:r>
        <w:t xml:space="preserve">promissory </w:t>
      </w:r>
      <w:r>
        <w:t>notes by</w:t>
      </w:r>
      <w:r>
        <w:t xml:space="preserve"> number</w:t>
      </w:r>
      <w:r>
        <w:t xml:space="preserve"> (note #</w:t>
      </w:r>
      <w:r>
        <w:t xml:space="preserve">1 through </w:t>
      </w:r>
      <w:r>
        <w:t>note #</w:t>
      </w:r>
      <w:r>
        <w:t>9</w:t>
      </w:r>
      <w:r>
        <w:t>)</w:t>
      </w:r>
      <w:r>
        <w:t>,</w:t>
      </w:r>
      <w:r>
        <w:t xml:space="preserve"> and</w:t>
      </w:r>
      <w:r>
        <w:t xml:space="preserve"> </w:t>
      </w:r>
      <w:r>
        <w:t xml:space="preserve">then used lower case letters to identify amendments to some of those notes </w:t>
      </w:r>
      <w:r>
        <w:t>(e.g.</w:t>
      </w:r>
      <w:r>
        <w:t>,</w:t>
      </w:r>
      <w:r>
        <w:t xml:space="preserve"> note #2a, note #2b, etc.).  For clarity and conven</w:t>
      </w:r>
      <w:r>
        <w:t>ience, we will continue to use th</w:t>
      </w:r>
      <w:r>
        <w:t>is</w:t>
      </w:r>
      <w:r>
        <w:t xml:space="preserve"> reference system.</w:t>
      </w:r>
    </w:p>
    <w:p w:rsidR="009E6FE4" w:rsidRDefault="00497339" w:rsidP="00EB3202">
      <w:pPr>
        <w:spacing w:line="360" w:lineRule="auto"/>
      </w:pPr>
      <w:r>
        <w:tab/>
      </w:r>
      <w:r w:rsidRPr="00624351">
        <w:rPr>
          <w:b/>
        </w:rPr>
        <w:t>Note #1</w:t>
      </w:r>
      <w:r>
        <w:t>, executed</w:t>
      </w:r>
      <w:r>
        <w:t xml:space="preserve"> December 7, 1999, </w:t>
      </w:r>
      <w:r>
        <w:t xml:space="preserve">was a $500,000 loan from Pensco </w:t>
      </w:r>
      <w:r w:rsidRPr="008E2ABF">
        <w:rPr>
          <w:i/>
        </w:rPr>
        <w:t>fbo</w:t>
      </w:r>
      <w:r>
        <w:t xml:space="preserve"> </w:t>
      </w:r>
      <w:r>
        <w:t xml:space="preserve">Wilcox </w:t>
      </w:r>
      <w:r>
        <w:t>to</w:t>
      </w:r>
      <w:r>
        <w:t xml:space="preserve"> Hardwick</w:t>
      </w:r>
      <w:r>
        <w:t>.</w:t>
      </w:r>
      <w:r>
        <w:t xml:space="preserve"> </w:t>
      </w:r>
      <w:r>
        <w:t xml:space="preserve"> </w:t>
      </w:r>
      <w:r>
        <w:t xml:space="preserve">Note #1 </w:t>
      </w:r>
      <w:r>
        <w:t>charged</w:t>
      </w:r>
      <w:r>
        <w:t xml:space="preserve"> interest </w:t>
      </w:r>
      <w:r>
        <w:t xml:space="preserve">at a </w:t>
      </w:r>
      <w:r>
        <w:t>rate of 12.0</w:t>
      </w:r>
      <w:r>
        <w:t xml:space="preserve"> percent</w:t>
      </w:r>
      <w:r>
        <w:t xml:space="preserve"> per annum, requir</w:t>
      </w:r>
      <w:r>
        <w:t>ed</w:t>
      </w:r>
      <w:r>
        <w:t xml:space="preserve"> interest only monthly payments </w:t>
      </w:r>
      <w:r>
        <w:t>to Wil</w:t>
      </w:r>
      <w:r>
        <w:t xml:space="preserve">cox, </w:t>
      </w:r>
      <w:r>
        <w:t>matured on</w:t>
      </w:r>
      <w:r>
        <w:t xml:space="preserve"> November 10, 2004</w:t>
      </w:r>
      <w:r>
        <w:t xml:space="preserve">, and was secured by deeds of trust on the </w:t>
      </w:r>
      <w:r>
        <w:t xml:space="preserve">San Leandro </w:t>
      </w:r>
      <w:r>
        <w:t>property and the</w:t>
      </w:r>
      <w:r>
        <w:t xml:space="preserve"> Cabrillo Center.</w:t>
      </w:r>
    </w:p>
    <w:p w:rsidR="00E36702" w:rsidRDefault="00497339" w:rsidP="00EB3202">
      <w:pPr>
        <w:spacing w:line="360" w:lineRule="auto"/>
      </w:pPr>
      <w:r>
        <w:tab/>
      </w:r>
      <w:r>
        <w:rPr>
          <w:b/>
        </w:rPr>
        <w:t>Note #</w:t>
      </w:r>
      <w:r w:rsidRPr="00624351">
        <w:rPr>
          <w:b/>
        </w:rPr>
        <w:t>2</w:t>
      </w:r>
      <w:r>
        <w:t>, executed</w:t>
      </w:r>
      <w:r>
        <w:t xml:space="preserve"> June 15, 2001, </w:t>
      </w:r>
      <w:r>
        <w:t xml:space="preserve">was a $200,000 loan from </w:t>
      </w:r>
      <w:r>
        <w:t xml:space="preserve">Wilcox </w:t>
      </w:r>
      <w:r>
        <w:t xml:space="preserve">individually to </w:t>
      </w:r>
      <w:r>
        <w:t>Hardwick</w:t>
      </w:r>
      <w:r>
        <w:t>.</w:t>
      </w:r>
      <w:r>
        <w:t xml:space="preserve">  </w:t>
      </w:r>
      <w:r>
        <w:t>Note # 2</w:t>
      </w:r>
      <w:r>
        <w:t xml:space="preserve"> charged</w:t>
      </w:r>
      <w:r>
        <w:t xml:space="preserve"> interest </w:t>
      </w:r>
      <w:r>
        <w:t xml:space="preserve">at a </w:t>
      </w:r>
      <w:r>
        <w:t xml:space="preserve">rate of </w:t>
      </w:r>
      <w:r>
        <w:t>12.0</w:t>
      </w:r>
      <w:r>
        <w:t xml:space="preserve"> percent</w:t>
      </w:r>
      <w:r>
        <w:t xml:space="preserve"> per annum, requir</w:t>
      </w:r>
      <w:r>
        <w:t xml:space="preserve">ed </w:t>
      </w:r>
      <w:r>
        <w:t xml:space="preserve">interest only monthly payments to Wilcox, </w:t>
      </w:r>
      <w:r>
        <w:t>matured on</w:t>
      </w:r>
      <w:r>
        <w:t xml:space="preserve"> </w:t>
      </w:r>
      <w:r>
        <w:t>September 25, 2001</w:t>
      </w:r>
      <w:r>
        <w:t>, and</w:t>
      </w:r>
      <w:r>
        <w:t xml:space="preserve"> was secured by a deed of trust </w:t>
      </w:r>
      <w:r>
        <w:t xml:space="preserve">on </w:t>
      </w:r>
      <w:r>
        <w:t>the Cabrillo Market.</w:t>
      </w:r>
    </w:p>
    <w:p w:rsidR="00D9022B" w:rsidRDefault="00497339" w:rsidP="00D9022B">
      <w:pPr>
        <w:spacing w:line="360" w:lineRule="auto"/>
      </w:pPr>
      <w:r>
        <w:tab/>
      </w:r>
      <w:r w:rsidRPr="00624351">
        <w:rPr>
          <w:b/>
        </w:rPr>
        <w:t>Note #3</w:t>
      </w:r>
      <w:r>
        <w:t xml:space="preserve">, executed </w:t>
      </w:r>
      <w:r>
        <w:t xml:space="preserve">October 11, 2001, </w:t>
      </w:r>
      <w:r>
        <w:t xml:space="preserve">was a $120,000 loan from </w:t>
      </w:r>
      <w:r>
        <w:t xml:space="preserve">Wilcox </w:t>
      </w:r>
      <w:r>
        <w:t xml:space="preserve">individually to </w:t>
      </w:r>
      <w:r>
        <w:t>Hard</w:t>
      </w:r>
      <w:r>
        <w:t>wi</w:t>
      </w:r>
      <w:r>
        <w:t>ck.</w:t>
      </w:r>
      <w:r>
        <w:t xml:space="preserve">  </w:t>
      </w:r>
      <w:r>
        <w:t>Note #</w:t>
      </w:r>
      <w:r>
        <w:t>3</w:t>
      </w:r>
      <w:r>
        <w:t xml:space="preserve"> charged</w:t>
      </w:r>
      <w:r>
        <w:t xml:space="preserve"> interest </w:t>
      </w:r>
      <w:r>
        <w:t xml:space="preserve">at a </w:t>
      </w:r>
      <w:r>
        <w:t>rate of 12.0</w:t>
      </w:r>
      <w:r>
        <w:t xml:space="preserve"> percent</w:t>
      </w:r>
      <w:r>
        <w:t xml:space="preserve"> per annum, requir</w:t>
      </w:r>
      <w:r>
        <w:t>ed</w:t>
      </w:r>
      <w:r>
        <w:t xml:space="preserve"> interest only monthly payments to Wilcox, matur</w:t>
      </w:r>
      <w:r>
        <w:t>ed</w:t>
      </w:r>
      <w:r>
        <w:t xml:space="preserve"> </w:t>
      </w:r>
      <w:r>
        <w:t>on</w:t>
      </w:r>
      <w:r>
        <w:t xml:space="preserve"> December</w:t>
      </w:r>
      <w:r>
        <w:t> </w:t>
      </w:r>
      <w:r>
        <w:t>31, 2001</w:t>
      </w:r>
      <w:r>
        <w:t>, and</w:t>
      </w:r>
      <w:r>
        <w:t xml:space="preserve"> was secured by a deed of trust on the Cabrillo Center.</w:t>
      </w:r>
    </w:p>
    <w:p w:rsidR="007B276E" w:rsidRDefault="00497339" w:rsidP="00D9022B">
      <w:pPr>
        <w:spacing w:line="360" w:lineRule="auto"/>
      </w:pPr>
      <w:r>
        <w:tab/>
      </w:r>
      <w:r>
        <w:t xml:space="preserve">On </w:t>
      </w:r>
      <w:r>
        <w:t xml:space="preserve">May 14, 2002, Wilcox and Hardwick </w:t>
      </w:r>
      <w:r>
        <w:t>agreed to c</w:t>
      </w:r>
      <w:r>
        <w:t xml:space="preserve">onvert </w:t>
      </w:r>
      <w:r>
        <w:t xml:space="preserve">$42,000 of </w:t>
      </w:r>
      <w:r>
        <w:t xml:space="preserve">accrued unpaid interest and late fees on </w:t>
      </w:r>
      <w:r>
        <w:t>outstanding</w:t>
      </w:r>
      <w:r>
        <w:t xml:space="preserve"> notes </w:t>
      </w:r>
      <w:r>
        <w:t>to principal debt</w:t>
      </w:r>
      <w:r>
        <w:t>.  That day, they execut</w:t>
      </w:r>
      <w:r>
        <w:t>ed</w:t>
      </w:r>
      <w:r>
        <w:t xml:space="preserve"> </w:t>
      </w:r>
      <w:r w:rsidRPr="00492348">
        <w:rPr>
          <w:b/>
        </w:rPr>
        <w:t xml:space="preserve">note </w:t>
      </w:r>
      <w:r w:rsidRPr="00492348">
        <w:rPr>
          <w:b/>
        </w:rPr>
        <w:t>#2a</w:t>
      </w:r>
      <w:r>
        <w:t xml:space="preserve">, </w:t>
      </w:r>
      <w:r>
        <w:t>which increased the amount of the</w:t>
      </w:r>
      <w:r>
        <w:t xml:space="preserve"> note #2 principal</w:t>
      </w:r>
      <w:r>
        <w:t xml:space="preserve"> to $242,000</w:t>
      </w:r>
      <w:r>
        <w:t xml:space="preserve">.  Note #2a and </w:t>
      </w:r>
      <w:r w:rsidRPr="00492348">
        <w:rPr>
          <w:b/>
        </w:rPr>
        <w:t>note #3a</w:t>
      </w:r>
      <w:r>
        <w:t xml:space="preserve">, which was also executed on May 14, </w:t>
      </w:r>
      <w:r>
        <w:t>changed the maturity date for note #2 and note #3 to</w:t>
      </w:r>
      <w:r>
        <w:t xml:space="preserve"> </w:t>
      </w:r>
      <w:r>
        <w:t>May 1, 2003.</w:t>
      </w:r>
    </w:p>
    <w:p w:rsidR="005E12D4" w:rsidRDefault="00497339" w:rsidP="00D9022B">
      <w:pPr>
        <w:spacing w:line="360" w:lineRule="auto"/>
      </w:pPr>
      <w:r>
        <w:lastRenderedPageBreak/>
        <w:tab/>
        <w:t>On November 19, 2002, Wilcox loaned Hardwick an additional $100,000.</w:t>
      </w:r>
      <w:r>
        <w:t xml:space="preserve">  </w:t>
      </w:r>
      <w:r>
        <w:t>Th</w:t>
      </w:r>
      <w:r>
        <w:t>is</w:t>
      </w:r>
      <w:r>
        <w:t xml:space="preserve"> loan was evidenced </w:t>
      </w:r>
      <w:r>
        <w:t xml:space="preserve">by </w:t>
      </w:r>
      <w:r w:rsidRPr="00492348">
        <w:rPr>
          <w:b/>
        </w:rPr>
        <w:t>note #2b</w:t>
      </w:r>
      <w:r>
        <w:t xml:space="preserve">, which increased the principal amount of note </w:t>
      </w:r>
      <w:r>
        <w:t>#</w:t>
      </w:r>
      <w:r>
        <w:t>2</w:t>
      </w:r>
      <w:r>
        <w:t>a</w:t>
      </w:r>
      <w:r>
        <w:t xml:space="preserve"> to $342,000, and </w:t>
      </w:r>
      <w:r>
        <w:t>changed</w:t>
      </w:r>
      <w:r>
        <w:t xml:space="preserve"> the matu</w:t>
      </w:r>
      <w:r>
        <w:t>rity date to November 1, 2003.</w:t>
      </w:r>
    </w:p>
    <w:p w:rsidR="005E12D4" w:rsidRDefault="00497339" w:rsidP="00D9022B">
      <w:pPr>
        <w:spacing w:line="360" w:lineRule="auto"/>
      </w:pPr>
      <w:r>
        <w:tab/>
        <w:t xml:space="preserve">On January </w:t>
      </w:r>
      <w:r>
        <w:t>8</w:t>
      </w:r>
      <w:r>
        <w:t xml:space="preserve">, 2003, Wilcox and Hardwick </w:t>
      </w:r>
      <w:r>
        <w:t xml:space="preserve">agreed to </w:t>
      </w:r>
      <w:r>
        <w:t>roll over</w:t>
      </w:r>
      <w:r>
        <w:t xml:space="preserve"> note #2b </w:t>
      </w:r>
      <w:r>
        <w:t>($342,000) and note</w:t>
      </w:r>
      <w:r>
        <w:t xml:space="preserve"> #3a</w:t>
      </w:r>
      <w:r>
        <w:t xml:space="preserve"> ($120,000)</w:t>
      </w:r>
      <w:r>
        <w:t xml:space="preserve"> into </w:t>
      </w:r>
      <w:r w:rsidRPr="00492348">
        <w:rPr>
          <w:b/>
        </w:rPr>
        <w:t>note #2c</w:t>
      </w:r>
      <w:r>
        <w:rPr>
          <w:b/>
        </w:rPr>
        <w:t>,</w:t>
      </w:r>
      <w:r>
        <w:t xml:space="preserve"> </w:t>
      </w:r>
      <w:r>
        <w:t>which established a</w:t>
      </w:r>
      <w:r>
        <w:t xml:space="preserve"> principal debt of $462,000.  As part of this agreement, Wilcox</w:t>
      </w:r>
      <w:r>
        <w:t xml:space="preserve"> releas</w:t>
      </w:r>
      <w:r>
        <w:t>ed</w:t>
      </w:r>
      <w:r>
        <w:t xml:space="preserve"> the </w:t>
      </w:r>
      <w:r>
        <w:t>deed of t</w:t>
      </w:r>
      <w:r>
        <w:t xml:space="preserve">rust on the </w:t>
      </w:r>
      <w:r>
        <w:t xml:space="preserve">Cabrillo Center </w:t>
      </w:r>
      <w:r>
        <w:t>that secured the</w:t>
      </w:r>
      <w:r>
        <w:t xml:space="preserve"> note </w:t>
      </w:r>
      <w:r>
        <w:t>#</w:t>
      </w:r>
      <w:r>
        <w:t>3</w:t>
      </w:r>
      <w:r>
        <w:t>a</w:t>
      </w:r>
      <w:r>
        <w:t xml:space="preserve"> loan</w:t>
      </w:r>
      <w:r>
        <w:t>.</w:t>
      </w:r>
    </w:p>
    <w:p w:rsidR="005A6CBF" w:rsidRDefault="00497339" w:rsidP="00D9022B">
      <w:pPr>
        <w:spacing w:line="360" w:lineRule="auto"/>
      </w:pPr>
      <w:r>
        <w:tab/>
      </w:r>
      <w:r>
        <w:rPr>
          <w:b/>
        </w:rPr>
        <w:t>Note #</w:t>
      </w:r>
      <w:r w:rsidRPr="00624351">
        <w:rPr>
          <w:b/>
        </w:rPr>
        <w:t>4</w:t>
      </w:r>
      <w:r>
        <w:t xml:space="preserve">, executed December 31, 2003, was a $500,000 loan from Pensco </w:t>
      </w:r>
      <w:r w:rsidRPr="008E2ABF">
        <w:rPr>
          <w:i/>
        </w:rPr>
        <w:t>fbo</w:t>
      </w:r>
      <w:r>
        <w:t xml:space="preserve"> Wilcox to Hardwick.</w:t>
      </w:r>
      <w:r>
        <w:t xml:space="preserve">  </w:t>
      </w:r>
      <w:r>
        <w:t>Note #</w:t>
      </w:r>
      <w:r>
        <w:t>4 charged interest at a rate of 11.0</w:t>
      </w:r>
      <w:r>
        <w:t xml:space="preserve"> percent</w:t>
      </w:r>
      <w:r>
        <w:t xml:space="preserve"> per annum, required interest only monthly payments to Wilcox, matured on December 31, 2008, and was secured by a deed of trust on the Cabrillo Center.</w:t>
      </w:r>
    </w:p>
    <w:p w:rsidR="00D9022B" w:rsidRDefault="00497339" w:rsidP="00D9022B">
      <w:pPr>
        <w:spacing w:line="360" w:lineRule="auto"/>
      </w:pPr>
      <w:r>
        <w:tab/>
      </w:r>
      <w:r>
        <w:t xml:space="preserve">The parties agreed to use the $500,000 </w:t>
      </w:r>
      <w:r>
        <w:t>principal loan</w:t>
      </w:r>
      <w:r>
        <w:t xml:space="preserve"> evidenced </w:t>
      </w:r>
      <w:r>
        <w:t xml:space="preserve">by note #4 to pay off note #1. </w:t>
      </w:r>
      <w:r>
        <w:t xml:space="preserve"> </w:t>
      </w:r>
      <w:r>
        <w:t>Accordi</w:t>
      </w:r>
      <w:r>
        <w:t xml:space="preserve">ngly, in connection with this transaction, Wilcox released </w:t>
      </w:r>
      <w:r>
        <w:t>the</w:t>
      </w:r>
      <w:r>
        <w:t xml:space="preserve"> </w:t>
      </w:r>
      <w:r>
        <w:t>deed of trust on</w:t>
      </w:r>
      <w:r>
        <w:t xml:space="preserve"> the San Leandro property that secure</w:t>
      </w:r>
      <w:r>
        <w:t>d</w:t>
      </w:r>
      <w:r>
        <w:t xml:space="preserve"> note #1.</w:t>
      </w:r>
    </w:p>
    <w:p w:rsidR="00D9022B" w:rsidRDefault="00497339" w:rsidP="00D9022B">
      <w:pPr>
        <w:spacing w:line="360" w:lineRule="auto"/>
      </w:pPr>
      <w:r>
        <w:tab/>
      </w:r>
      <w:r>
        <w:rPr>
          <w:b/>
        </w:rPr>
        <w:t>Note #</w:t>
      </w:r>
      <w:r w:rsidRPr="00624351">
        <w:rPr>
          <w:b/>
        </w:rPr>
        <w:t>5</w:t>
      </w:r>
      <w:r>
        <w:t xml:space="preserve">, </w:t>
      </w:r>
      <w:r>
        <w:t xml:space="preserve">executed on November 8, 2004, was </w:t>
      </w:r>
      <w:r>
        <w:t xml:space="preserve">a $55,000 loan </w:t>
      </w:r>
      <w:r>
        <w:t xml:space="preserve">from Pensco </w:t>
      </w:r>
      <w:r w:rsidRPr="006F1813">
        <w:rPr>
          <w:i/>
        </w:rPr>
        <w:t>fbo</w:t>
      </w:r>
      <w:r>
        <w:t xml:space="preserve"> Wilcox </w:t>
      </w:r>
      <w:r>
        <w:t>to Hardwick</w:t>
      </w:r>
      <w:r>
        <w:t>.</w:t>
      </w:r>
      <w:r>
        <w:t xml:space="preserve">  </w:t>
      </w:r>
      <w:r>
        <w:t xml:space="preserve">Note #5 charged </w:t>
      </w:r>
      <w:r>
        <w:t>interest</w:t>
      </w:r>
      <w:r>
        <w:t xml:space="preserve"> at a</w:t>
      </w:r>
      <w:r>
        <w:t xml:space="preserve"> rat</w:t>
      </w:r>
      <w:r>
        <w:t>e of 12.0</w:t>
      </w:r>
      <w:r>
        <w:t xml:space="preserve"> percent</w:t>
      </w:r>
      <w:r>
        <w:t xml:space="preserve"> per annum, requir</w:t>
      </w:r>
      <w:r>
        <w:t>ed</w:t>
      </w:r>
      <w:r>
        <w:t xml:space="preserve"> interest only monthly payments to Wilcox, </w:t>
      </w:r>
      <w:r>
        <w:t>matured on</w:t>
      </w:r>
      <w:r>
        <w:t xml:space="preserve"> November 8, 200</w:t>
      </w:r>
      <w:r>
        <w:t>9</w:t>
      </w:r>
      <w:r>
        <w:t xml:space="preserve">, and </w:t>
      </w:r>
      <w:r>
        <w:t>was secured by a deed of trust on the Cabrillo Center.</w:t>
      </w:r>
    </w:p>
    <w:p w:rsidR="001072E4" w:rsidRDefault="00497339" w:rsidP="00D9022B">
      <w:pPr>
        <w:spacing w:line="360" w:lineRule="auto"/>
      </w:pPr>
      <w:r>
        <w:tab/>
        <w:t>On March 28, 2005, Wilcox loan</w:t>
      </w:r>
      <w:r>
        <w:t xml:space="preserve">ed </w:t>
      </w:r>
      <w:r>
        <w:t xml:space="preserve">Hardwick $200,000, which was evidenced by </w:t>
      </w:r>
      <w:r w:rsidRPr="00492348">
        <w:rPr>
          <w:b/>
        </w:rPr>
        <w:t>n</w:t>
      </w:r>
      <w:r w:rsidRPr="00492348">
        <w:rPr>
          <w:b/>
        </w:rPr>
        <w:t>ote #2d</w:t>
      </w:r>
      <w:r>
        <w:t>.</w:t>
      </w:r>
      <w:r>
        <w:t xml:space="preserve">  </w:t>
      </w:r>
      <w:r>
        <w:t>N</w:t>
      </w:r>
      <w:r>
        <w:t xml:space="preserve">ote #2d amended note </w:t>
      </w:r>
      <w:r>
        <w:t>#</w:t>
      </w:r>
      <w:r>
        <w:t>2</w:t>
      </w:r>
      <w:r>
        <w:t>c</w:t>
      </w:r>
      <w:r>
        <w:t xml:space="preserve"> by increasing the amount of the principal debt to </w:t>
      </w:r>
      <w:r>
        <w:t>$662,000 and changing the maturity date to March 25, 2009.</w:t>
      </w:r>
    </w:p>
    <w:p w:rsidR="00D9022B" w:rsidRDefault="00497339" w:rsidP="00EB3202">
      <w:pPr>
        <w:spacing w:line="360" w:lineRule="auto"/>
      </w:pPr>
      <w:r>
        <w:tab/>
      </w:r>
      <w:r>
        <w:rPr>
          <w:b/>
        </w:rPr>
        <w:t>Note #</w:t>
      </w:r>
      <w:r w:rsidRPr="00624351">
        <w:rPr>
          <w:b/>
        </w:rPr>
        <w:t>6</w:t>
      </w:r>
      <w:r>
        <w:t xml:space="preserve">, </w:t>
      </w:r>
      <w:r>
        <w:t xml:space="preserve">executed September 15, 2008, was </w:t>
      </w:r>
      <w:r>
        <w:t xml:space="preserve">a $45,000 loan </w:t>
      </w:r>
      <w:r>
        <w:t xml:space="preserve">from Pensco </w:t>
      </w:r>
      <w:r w:rsidRPr="006F1813">
        <w:rPr>
          <w:i/>
        </w:rPr>
        <w:t>fbo</w:t>
      </w:r>
      <w:r>
        <w:t xml:space="preserve"> Wilcox </w:t>
      </w:r>
      <w:r>
        <w:t>to Hardwick</w:t>
      </w:r>
      <w:r>
        <w:t>.</w:t>
      </w:r>
      <w:r>
        <w:t xml:space="preserve">  </w:t>
      </w:r>
      <w:r>
        <w:t>Note #6 charged</w:t>
      </w:r>
      <w:r>
        <w:t xml:space="preserve"> interest </w:t>
      </w:r>
      <w:r>
        <w:t xml:space="preserve">at a </w:t>
      </w:r>
      <w:r>
        <w:t>rate of 12.0</w:t>
      </w:r>
      <w:r>
        <w:t xml:space="preserve"> percent</w:t>
      </w:r>
      <w:r>
        <w:t xml:space="preserve"> per annum, requir</w:t>
      </w:r>
      <w:r>
        <w:t xml:space="preserve">ed </w:t>
      </w:r>
      <w:r>
        <w:t xml:space="preserve">interest only monthly payments to Wilcox, </w:t>
      </w:r>
      <w:r>
        <w:t>matured</w:t>
      </w:r>
      <w:r>
        <w:t xml:space="preserve"> </w:t>
      </w:r>
      <w:r>
        <w:t>on</w:t>
      </w:r>
      <w:r>
        <w:t xml:space="preserve"> September 15, 2013</w:t>
      </w:r>
      <w:r>
        <w:t xml:space="preserve">, and </w:t>
      </w:r>
      <w:r>
        <w:t>was secured by a deed of trust on the Cabrillo Center.</w:t>
      </w:r>
    </w:p>
    <w:p w:rsidR="00492348" w:rsidRDefault="00497339" w:rsidP="00EB3202">
      <w:pPr>
        <w:spacing w:line="360" w:lineRule="auto"/>
      </w:pPr>
      <w:r>
        <w:tab/>
        <w:t xml:space="preserve">On March 21, 2009, the parties executed </w:t>
      </w:r>
      <w:r w:rsidRPr="00492348">
        <w:rPr>
          <w:b/>
        </w:rPr>
        <w:t>note #4a</w:t>
      </w:r>
      <w:r>
        <w:rPr>
          <w:b/>
        </w:rPr>
        <w:t>,</w:t>
      </w:r>
      <w:r>
        <w:t xml:space="preserve"> which changed the maturity </w:t>
      </w:r>
      <w:r>
        <w:t>da</w:t>
      </w:r>
      <w:r>
        <w:t xml:space="preserve">te of note </w:t>
      </w:r>
      <w:r>
        <w:t>#</w:t>
      </w:r>
      <w:r>
        <w:t>4 to March 31, 2012.</w:t>
      </w:r>
    </w:p>
    <w:p w:rsidR="00EB3202" w:rsidRDefault="00497339" w:rsidP="0005105E">
      <w:pPr>
        <w:spacing w:line="360" w:lineRule="auto"/>
      </w:pPr>
      <w:r>
        <w:tab/>
      </w:r>
      <w:r>
        <w:rPr>
          <w:b/>
        </w:rPr>
        <w:t>Note #</w:t>
      </w:r>
      <w:r w:rsidRPr="001072E4">
        <w:rPr>
          <w:b/>
        </w:rPr>
        <w:t>7</w:t>
      </w:r>
      <w:r>
        <w:t xml:space="preserve">, </w:t>
      </w:r>
      <w:r>
        <w:t xml:space="preserve">executed March 23, 2009, was </w:t>
      </w:r>
      <w:r>
        <w:t xml:space="preserve">a $150,000 loan </w:t>
      </w:r>
      <w:r>
        <w:t xml:space="preserve">from Pensco </w:t>
      </w:r>
      <w:r w:rsidRPr="006F1813">
        <w:rPr>
          <w:i/>
        </w:rPr>
        <w:t>fbo</w:t>
      </w:r>
      <w:r>
        <w:t xml:space="preserve"> Wilcox </w:t>
      </w:r>
      <w:r>
        <w:t>to Hardwick</w:t>
      </w:r>
      <w:r>
        <w:t>.  Note #7 charged</w:t>
      </w:r>
      <w:r>
        <w:t xml:space="preserve"> interest </w:t>
      </w:r>
      <w:r>
        <w:t xml:space="preserve">at a </w:t>
      </w:r>
      <w:r>
        <w:t>rate of 12.0</w:t>
      </w:r>
      <w:r>
        <w:t xml:space="preserve"> percent</w:t>
      </w:r>
      <w:r>
        <w:t xml:space="preserve"> per annum, requir</w:t>
      </w:r>
      <w:r>
        <w:t>ed</w:t>
      </w:r>
      <w:r>
        <w:t xml:space="preserve"> interest only monthly payments to Wilcox, </w:t>
      </w:r>
      <w:r>
        <w:t>matured on</w:t>
      </w:r>
      <w:r>
        <w:t xml:space="preserve"> April</w:t>
      </w:r>
      <w:r>
        <w:t xml:space="preserve"> 1, 2012</w:t>
      </w:r>
      <w:r>
        <w:t>, and</w:t>
      </w:r>
      <w:r>
        <w:t xml:space="preserve"> was secured by a deed of trust on the Cabrillo Center.</w:t>
      </w:r>
    </w:p>
    <w:p w:rsidR="00842C84" w:rsidRDefault="00497339" w:rsidP="0005105E">
      <w:pPr>
        <w:spacing w:line="360" w:lineRule="auto"/>
      </w:pPr>
      <w:r>
        <w:tab/>
      </w:r>
      <w:r>
        <w:t>The parties agreed to use the principal loan evidenced by n</w:t>
      </w:r>
      <w:r>
        <w:t>ote</w:t>
      </w:r>
      <w:r>
        <w:t xml:space="preserve"> #7</w:t>
      </w:r>
      <w:r>
        <w:t xml:space="preserve"> to: (1)</w:t>
      </w:r>
      <w:r>
        <w:t> </w:t>
      </w:r>
      <w:r>
        <w:t>roll</w:t>
      </w:r>
      <w:r>
        <w:t xml:space="preserve">over </w:t>
      </w:r>
      <w:r>
        <w:t xml:space="preserve">and effectively pay off </w:t>
      </w:r>
      <w:r>
        <w:t xml:space="preserve">note </w:t>
      </w:r>
      <w:r>
        <w:t>#</w:t>
      </w:r>
      <w:r>
        <w:t>5 ($55,000)</w:t>
      </w:r>
      <w:r>
        <w:t>; (2)</w:t>
      </w:r>
      <w:r>
        <w:t> </w:t>
      </w:r>
      <w:r>
        <w:t>roll</w:t>
      </w:r>
      <w:r>
        <w:t>over and effectively pay off</w:t>
      </w:r>
      <w:r>
        <w:t xml:space="preserve"> </w:t>
      </w:r>
      <w:r>
        <w:t xml:space="preserve">note </w:t>
      </w:r>
      <w:r>
        <w:t>#</w:t>
      </w:r>
      <w:r>
        <w:t>6 ($45,000)</w:t>
      </w:r>
      <w:r>
        <w:t xml:space="preserve">; </w:t>
      </w:r>
      <w:r>
        <w:t xml:space="preserve">and </w:t>
      </w:r>
      <w:r>
        <w:t>(3)</w:t>
      </w:r>
      <w:r>
        <w:t> </w:t>
      </w:r>
      <w:r>
        <w:t>provide additional funding to Hardwick ($27,184).  The parties also agreed to convert accrued unpaid interest and late fees on outstanding notes ($22,816) to princi</w:t>
      </w:r>
      <w:r>
        <w:t xml:space="preserve">pal debt evidenced by note #7. </w:t>
      </w:r>
      <w:r>
        <w:t xml:space="preserve"> </w:t>
      </w:r>
      <w:r>
        <w:t>In connection with the execution of note #7, Wilcox rele</w:t>
      </w:r>
      <w:r>
        <w:t>ased the deed of trust on the Cabril</w:t>
      </w:r>
      <w:r>
        <w:t>lo Center that secured note #5.</w:t>
      </w:r>
    </w:p>
    <w:p w:rsidR="0005105E" w:rsidRDefault="00497339" w:rsidP="0005105E">
      <w:pPr>
        <w:spacing w:line="360" w:lineRule="auto"/>
      </w:pPr>
      <w:r>
        <w:tab/>
      </w:r>
      <w:r>
        <w:rPr>
          <w:b/>
        </w:rPr>
        <w:t>Note #</w:t>
      </w:r>
      <w:r w:rsidRPr="001072E4">
        <w:rPr>
          <w:b/>
        </w:rPr>
        <w:t>8</w:t>
      </w:r>
      <w:r>
        <w:t xml:space="preserve">, </w:t>
      </w:r>
      <w:r>
        <w:t xml:space="preserve">executed March 23, 2009, was </w:t>
      </w:r>
      <w:r>
        <w:t xml:space="preserve">a $662,000 loan </w:t>
      </w:r>
      <w:r>
        <w:t xml:space="preserve">from Wilcox individually </w:t>
      </w:r>
      <w:r>
        <w:t>to Hardwick</w:t>
      </w:r>
      <w:r>
        <w:t>.</w:t>
      </w:r>
      <w:r>
        <w:t xml:space="preserve">  </w:t>
      </w:r>
      <w:r>
        <w:t>Note #</w:t>
      </w:r>
      <w:r>
        <w:t>8 charged</w:t>
      </w:r>
      <w:r>
        <w:t xml:space="preserve"> interest </w:t>
      </w:r>
      <w:r>
        <w:t xml:space="preserve">at a </w:t>
      </w:r>
      <w:r>
        <w:t>rate of 12.0</w:t>
      </w:r>
      <w:r>
        <w:t xml:space="preserve"> percent</w:t>
      </w:r>
      <w:r>
        <w:t xml:space="preserve"> per annum, requir</w:t>
      </w:r>
      <w:r>
        <w:t>ed</w:t>
      </w:r>
      <w:r>
        <w:t xml:space="preserve"> interest only monthly p</w:t>
      </w:r>
      <w:r>
        <w:t xml:space="preserve">ayments to Wilcox, </w:t>
      </w:r>
      <w:r>
        <w:t xml:space="preserve">matured on </w:t>
      </w:r>
      <w:r>
        <w:t>February 24, 2012</w:t>
      </w:r>
      <w:r>
        <w:t xml:space="preserve">, and </w:t>
      </w:r>
      <w:r>
        <w:t>was secured by deeds of trust on the Cabrillo Market and the Cabrillo Center.</w:t>
      </w:r>
    </w:p>
    <w:p w:rsidR="00183453" w:rsidRDefault="00497339" w:rsidP="0005105E">
      <w:pPr>
        <w:spacing w:line="360" w:lineRule="auto"/>
      </w:pPr>
      <w:r>
        <w:tab/>
      </w:r>
      <w:r>
        <w:t>The parties agreed to use the principal loan evidenced by n</w:t>
      </w:r>
      <w:r>
        <w:t>ote</w:t>
      </w:r>
      <w:r>
        <w:t xml:space="preserve"> #8 </w:t>
      </w:r>
      <w:r>
        <w:t>to roll</w:t>
      </w:r>
      <w:r>
        <w:t xml:space="preserve">over and thus effectively pay off note #2d </w:t>
      </w:r>
      <w:r>
        <w:t>($662,00</w:t>
      </w:r>
      <w:r>
        <w:t>0)</w:t>
      </w:r>
      <w:r>
        <w:t xml:space="preserve">.  </w:t>
      </w:r>
      <w:r>
        <w:t xml:space="preserve">In connection with the execution of note #8, Wilcox released </w:t>
      </w:r>
      <w:r>
        <w:t xml:space="preserve">the </w:t>
      </w:r>
      <w:r>
        <w:t xml:space="preserve">deed of trust on the Cabrillo Market that </w:t>
      </w:r>
      <w:r>
        <w:t>secured</w:t>
      </w:r>
      <w:r>
        <w:t xml:space="preserve"> note #2 and </w:t>
      </w:r>
      <w:r>
        <w:t>its</w:t>
      </w:r>
      <w:r>
        <w:t xml:space="preserve"> amendments.</w:t>
      </w:r>
    </w:p>
    <w:p w:rsidR="00183453" w:rsidRDefault="00497339" w:rsidP="00183453">
      <w:pPr>
        <w:spacing w:line="360" w:lineRule="auto"/>
      </w:pPr>
      <w:r>
        <w:tab/>
      </w:r>
      <w:r>
        <w:rPr>
          <w:b/>
        </w:rPr>
        <w:t>Note #</w:t>
      </w:r>
      <w:r w:rsidRPr="001072E4">
        <w:rPr>
          <w:b/>
        </w:rPr>
        <w:t>9</w:t>
      </w:r>
      <w:r>
        <w:t xml:space="preserve">, </w:t>
      </w:r>
      <w:r>
        <w:t xml:space="preserve">executed on February 22, 2010, was </w:t>
      </w:r>
      <w:r>
        <w:t xml:space="preserve">an $800,000 loan </w:t>
      </w:r>
      <w:r>
        <w:t xml:space="preserve">from Pensco </w:t>
      </w:r>
      <w:r w:rsidRPr="001072E4">
        <w:rPr>
          <w:i/>
        </w:rPr>
        <w:t xml:space="preserve">fbo </w:t>
      </w:r>
      <w:r>
        <w:t xml:space="preserve">Wilcox </w:t>
      </w:r>
      <w:r>
        <w:t>to Hardwick</w:t>
      </w:r>
      <w:r>
        <w:t>.</w:t>
      </w:r>
      <w:r>
        <w:t xml:space="preserve">  </w:t>
      </w:r>
      <w:r>
        <w:t>Note #</w:t>
      </w:r>
      <w:r>
        <w:t>9 c</w:t>
      </w:r>
      <w:r>
        <w:t>harged</w:t>
      </w:r>
      <w:r>
        <w:t xml:space="preserve"> interest </w:t>
      </w:r>
      <w:r>
        <w:t xml:space="preserve">at a </w:t>
      </w:r>
      <w:r>
        <w:t>rate of 12.0</w:t>
      </w:r>
      <w:r>
        <w:t xml:space="preserve"> percent</w:t>
      </w:r>
      <w:r>
        <w:t xml:space="preserve"> per annum, requir</w:t>
      </w:r>
      <w:r>
        <w:t xml:space="preserve">ed </w:t>
      </w:r>
      <w:r>
        <w:t>interest only monthly payments to Wilcox, matur</w:t>
      </w:r>
      <w:r>
        <w:t>ed</w:t>
      </w:r>
      <w:r>
        <w:t xml:space="preserve"> </w:t>
      </w:r>
      <w:r>
        <w:t>on</w:t>
      </w:r>
      <w:r>
        <w:t xml:space="preserve"> December 31, 2012</w:t>
      </w:r>
      <w:r>
        <w:t>, and</w:t>
      </w:r>
      <w:r>
        <w:t xml:space="preserve"> was secured by a deed of trust on the Cabrillo Center.</w:t>
      </w:r>
    </w:p>
    <w:p w:rsidR="00183453" w:rsidRDefault="00497339" w:rsidP="00183453">
      <w:pPr>
        <w:spacing w:line="360" w:lineRule="auto"/>
      </w:pPr>
      <w:r>
        <w:tab/>
      </w:r>
      <w:r>
        <w:t>The parties agreed to use the principal loan evidenced by n</w:t>
      </w:r>
      <w:r>
        <w:t>ote</w:t>
      </w:r>
      <w:r>
        <w:t xml:space="preserve"> #9 to: (1)</w:t>
      </w:r>
      <w:r>
        <w:t> </w:t>
      </w:r>
      <w:r>
        <w:t>roll</w:t>
      </w:r>
      <w:r>
        <w:t xml:space="preserve">over </w:t>
      </w:r>
      <w:r>
        <w:t xml:space="preserve">and </w:t>
      </w:r>
      <w:r>
        <w:t xml:space="preserve">effectively pay off </w:t>
      </w:r>
      <w:r>
        <w:t xml:space="preserve">note #4a </w:t>
      </w:r>
      <w:r>
        <w:t>($500,000)</w:t>
      </w:r>
      <w:r>
        <w:t>; (2)</w:t>
      </w:r>
      <w:r>
        <w:t> </w:t>
      </w:r>
      <w:r>
        <w:t>roll</w:t>
      </w:r>
      <w:r>
        <w:t xml:space="preserve">over and thus effectively pay off </w:t>
      </w:r>
      <w:r>
        <w:t xml:space="preserve">note </w:t>
      </w:r>
      <w:r>
        <w:t>#</w:t>
      </w:r>
      <w:r>
        <w:t>7</w:t>
      </w:r>
      <w:r>
        <w:t xml:space="preserve"> </w:t>
      </w:r>
      <w:r>
        <w:t>($150,000)</w:t>
      </w:r>
      <w:r>
        <w:t>; (3)</w:t>
      </w:r>
      <w:r>
        <w:t> </w:t>
      </w:r>
      <w:r>
        <w:t xml:space="preserve">provide </w:t>
      </w:r>
      <w:r>
        <w:t>additional funding to Hardwick</w:t>
      </w:r>
      <w:r>
        <w:t xml:space="preserve"> ($81,490).  </w:t>
      </w:r>
      <w:r>
        <w:t xml:space="preserve">The parties also agreed that accrued unpaid interest and late fees </w:t>
      </w:r>
      <w:r>
        <w:t>on oth</w:t>
      </w:r>
      <w:r>
        <w:t xml:space="preserve">er notes ($68,510) would be converted to principal and added to the face amount of principal of note # 9.  </w:t>
      </w:r>
      <w:r>
        <w:t>In connection with the execution of note #</w:t>
      </w:r>
      <w:r>
        <w:t>9</w:t>
      </w:r>
      <w:r>
        <w:t xml:space="preserve">, Wilcox released the </w:t>
      </w:r>
      <w:r>
        <w:t xml:space="preserve">two </w:t>
      </w:r>
      <w:r>
        <w:t>deed</w:t>
      </w:r>
      <w:r>
        <w:t>s</w:t>
      </w:r>
      <w:r>
        <w:t xml:space="preserve"> of trust on the Cabrillo Market that </w:t>
      </w:r>
      <w:r>
        <w:t>secured</w:t>
      </w:r>
      <w:r>
        <w:t xml:space="preserve"> note #</w:t>
      </w:r>
      <w:r>
        <w:t>4a</w:t>
      </w:r>
      <w:r>
        <w:t xml:space="preserve"> and note #</w:t>
      </w:r>
      <w:r>
        <w:t>7</w:t>
      </w:r>
      <w:r>
        <w:t xml:space="preserve"> </w:t>
      </w:r>
      <w:r>
        <w:t>respecti</w:t>
      </w:r>
      <w:r>
        <w:t>vely</w:t>
      </w:r>
      <w:r>
        <w:t>.</w:t>
      </w:r>
    </w:p>
    <w:p w:rsidR="004828AD" w:rsidRDefault="00497339" w:rsidP="00183453">
      <w:pPr>
        <w:spacing w:line="360" w:lineRule="auto"/>
      </w:pPr>
      <w:r>
        <w:tab/>
        <w:t xml:space="preserve">Thus, by February 22, 2010, all of the principal loans that Wilcox had made to Hardwick in the previous </w:t>
      </w:r>
      <w:r>
        <w:t>10</w:t>
      </w:r>
      <w:r>
        <w:t xml:space="preserve"> years had been rolled </w:t>
      </w:r>
      <w:r>
        <w:t xml:space="preserve">over </w:t>
      </w:r>
      <w:r>
        <w:t>into either note #8 or note #9.  The direct loans from Wilcox were all rolled into note #8</w:t>
      </w:r>
      <w:r>
        <w:t>, which matured on Februa</w:t>
      </w:r>
      <w:r>
        <w:t>ry 24, 2012.  A</w:t>
      </w:r>
      <w:r>
        <w:t>nd the loans from Wilcox’s IRA a</w:t>
      </w:r>
      <w:r>
        <w:t>ccount were rolled into note #9, which matured on December 31, 2012.</w:t>
      </w:r>
    </w:p>
    <w:p w:rsidR="0005105E" w:rsidRDefault="00497339" w:rsidP="00A071D2">
      <w:pPr>
        <w:keepNext/>
        <w:spacing w:line="360" w:lineRule="auto"/>
      </w:pPr>
      <w:r>
        <w:tab/>
      </w:r>
      <w:r w:rsidRPr="00A071D2">
        <w:rPr>
          <w:b/>
        </w:rPr>
        <w:t>B.</w:t>
      </w:r>
      <w:r>
        <w:t xml:space="preserve">  </w:t>
      </w:r>
      <w:r w:rsidRPr="00A071D2">
        <w:rPr>
          <w:b/>
        </w:rPr>
        <w:t>The Forbearance Agreement</w:t>
      </w:r>
    </w:p>
    <w:p w:rsidR="00126296" w:rsidRDefault="00497339" w:rsidP="0005105E">
      <w:pPr>
        <w:spacing w:line="360" w:lineRule="auto"/>
      </w:pPr>
      <w:r>
        <w:tab/>
      </w:r>
      <w:r>
        <w:t>In April 2012, Wilcox initiated</w:t>
      </w:r>
      <w:r>
        <w:t xml:space="preserve"> </w:t>
      </w:r>
      <w:r>
        <w:t>non</w:t>
      </w:r>
      <w:r>
        <w:t>judicial foreclosure by filing a notice of default on note #8.</w:t>
      </w:r>
      <w:r>
        <w:t xml:space="preserve"> </w:t>
      </w:r>
      <w:r>
        <w:t xml:space="preserve"> </w:t>
      </w:r>
      <w:r>
        <w:t xml:space="preserve">Hardwick </w:t>
      </w:r>
      <w:r>
        <w:t>requested additional time to bring the loan current.</w:t>
      </w:r>
      <w:r>
        <w:t xml:space="preserve">  </w:t>
      </w:r>
      <w:r>
        <w:t>Wilcox consulted with counsel who advised him to require Hardwick to sign a forbearance agreement.</w:t>
      </w:r>
    </w:p>
    <w:p w:rsidR="00970CDA" w:rsidRDefault="00497339" w:rsidP="0005105E">
      <w:pPr>
        <w:spacing w:line="360" w:lineRule="auto"/>
      </w:pPr>
      <w:r>
        <w:tab/>
        <w:t xml:space="preserve">On August 1, 2012, Wilcox and Hardwick executed a “Forbearance Agreement and </w:t>
      </w:r>
      <w:r>
        <w:t>Agreement</w:t>
      </w:r>
      <w:r>
        <w:t xml:space="preserve"> to Extend Final</w:t>
      </w:r>
      <w:r>
        <w:t xml:space="preserve"> Payment Due on Note</w:t>
      </w:r>
      <w:r>
        <w:t xml:space="preserve">” (the </w:t>
      </w:r>
      <w:r>
        <w:t>Forbearance Agreement</w:t>
      </w:r>
      <w:r>
        <w:t xml:space="preserve">). </w:t>
      </w:r>
      <w:r>
        <w:t xml:space="preserve"> </w:t>
      </w:r>
      <w:r>
        <w:t>The</w:t>
      </w:r>
      <w:r>
        <w:t xml:space="preserve"> </w:t>
      </w:r>
      <w:r>
        <w:t>Forbearance Agreement</w:t>
      </w:r>
      <w:r>
        <w:t xml:space="preserve"> </w:t>
      </w:r>
      <w:r>
        <w:t>was divided in two parts, Recitals and Terms and Conditions.  The Recitals referenced</w:t>
      </w:r>
      <w:r>
        <w:t xml:space="preserve"> only the last two loans that Wilcox made to Hardwick, referring to note #8 as the “First Loan” or the “First Note” and note #9 as the </w:t>
      </w:r>
      <w:r>
        <w:t>“</w:t>
      </w:r>
      <w:r>
        <w:t xml:space="preserve">Second Loan” or the </w:t>
      </w:r>
      <w:r>
        <w:t>“</w:t>
      </w:r>
      <w:r>
        <w:t>Second Note.”</w:t>
      </w:r>
      <w:r>
        <w:t xml:space="preserve">  </w:t>
      </w:r>
      <w:r>
        <w:t xml:space="preserve">According to the Recitals, </w:t>
      </w:r>
      <w:r>
        <w:t xml:space="preserve">Wilcox initiated </w:t>
      </w:r>
      <w:r>
        <w:t xml:space="preserve">a </w:t>
      </w:r>
      <w:r>
        <w:t>non</w:t>
      </w:r>
      <w:r>
        <w:t>judicial foreclosure proceeding</w:t>
      </w:r>
      <w:r>
        <w:t xml:space="preserve"> aft</w:t>
      </w:r>
      <w:r>
        <w:t>er the First N</w:t>
      </w:r>
      <w:r>
        <w:t>ote matured on February</w:t>
      </w:r>
      <w:r>
        <w:t> </w:t>
      </w:r>
      <w:r>
        <w:t>24, 2012</w:t>
      </w:r>
      <w:r>
        <w:t xml:space="preserve">; Hardwick responded by requesting </w:t>
      </w:r>
      <w:r>
        <w:t>an extension of time to</w:t>
      </w:r>
      <w:r>
        <w:t xml:space="preserve"> pay off</w:t>
      </w:r>
      <w:r>
        <w:t xml:space="preserve"> the First Loan until December 31, 2012; and Wilcox agreed to grant the extension pursuant to specified terms and conditions.</w:t>
      </w:r>
    </w:p>
    <w:p w:rsidR="00B3517C" w:rsidRDefault="00497339" w:rsidP="0005105E">
      <w:pPr>
        <w:spacing w:line="360" w:lineRule="auto"/>
      </w:pPr>
      <w:r>
        <w:tab/>
      </w:r>
      <w:r>
        <w:t>The essent</w:t>
      </w:r>
      <w:r>
        <w:t>ial ter</w:t>
      </w:r>
      <w:r>
        <w:t>m of the Forbearance Agreement</w:t>
      </w:r>
      <w:r>
        <w:t xml:space="preserve"> was</w:t>
      </w:r>
      <w:r>
        <w:t xml:space="preserve"> that the time for Hardwick to pay off the First Loan </w:t>
      </w:r>
      <w:r>
        <w:t xml:space="preserve">(note #8) </w:t>
      </w:r>
      <w:r>
        <w:t xml:space="preserve">would be extended to December 31, 2012, provided that Hardwick made timely monthly interest payments on both the First and Second Notes.  </w:t>
      </w:r>
      <w:r>
        <w:t xml:space="preserve">The parties further </w:t>
      </w:r>
      <w:r>
        <w:t xml:space="preserve">agreed that if Hardwick failed to make a timely interest payment under either loan, Wilcox could proceed </w:t>
      </w:r>
      <w:r>
        <w:t xml:space="preserve">with foreclosure </w:t>
      </w:r>
      <w:r>
        <w:t>pursuant to notices that had already been filed</w:t>
      </w:r>
      <w:r>
        <w:t>;</w:t>
      </w:r>
      <w:r>
        <w:t xml:space="preserve"> that he could schedule and continue a sale of either property securing the loans</w:t>
      </w:r>
      <w:r>
        <w:t>;</w:t>
      </w:r>
      <w:r>
        <w:t xml:space="preserve"> and</w:t>
      </w:r>
      <w:r>
        <w:t xml:space="preserve"> that acceptance of a late payment did not consti</w:t>
      </w:r>
      <w:r>
        <w:t>tute a waiver of these rights.</w:t>
      </w:r>
    </w:p>
    <w:p w:rsidR="00237DC9" w:rsidRDefault="00497339" w:rsidP="0005105E">
      <w:pPr>
        <w:spacing w:line="360" w:lineRule="auto"/>
      </w:pPr>
      <w:r>
        <w:tab/>
      </w:r>
      <w:r>
        <w:t xml:space="preserve">The </w:t>
      </w:r>
      <w:r>
        <w:t>Forbearance Agreement</w:t>
      </w:r>
      <w:r>
        <w:t xml:space="preserve"> also contained a</w:t>
      </w:r>
      <w:r>
        <w:t xml:space="preserve"> “RELEASE”</w:t>
      </w:r>
      <w:r>
        <w:t xml:space="preserve"> of Hardwick’s past and future claims against Wilcox.  </w:t>
      </w:r>
      <w:r>
        <w:t>This broad</w:t>
      </w:r>
      <w:r>
        <w:t xml:space="preserve"> release</w:t>
      </w:r>
      <w:r>
        <w:t xml:space="preserve"> was divided into three somewhat redundant paragra</w:t>
      </w:r>
      <w:r>
        <w:t>phs</w:t>
      </w:r>
      <w:r>
        <w:t>, suggesting the language may have been cobbled together from other contracts.</w:t>
      </w:r>
      <w:r>
        <w:t xml:space="preserve">  The first paragraph stated:</w:t>
      </w:r>
      <w:r>
        <w:t xml:space="preserve"> “Borrower acknowledges and agrees that as of</w:t>
      </w:r>
      <w:r>
        <w:t xml:space="preserve"> the date of this Agreement, no</w:t>
      </w:r>
      <w:r>
        <w:t xml:space="preserve">ne of the </w:t>
      </w:r>
      <w:r>
        <w:t>obligations</w:t>
      </w:r>
      <w:r>
        <w:t xml:space="preserve"> </w:t>
      </w:r>
      <w:r>
        <w:t>under</w:t>
      </w:r>
      <w:r>
        <w:t xml:space="preserve"> the Notes or the payment of the </w:t>
      </w:r>
      <w:r>
        <w:t>amounts</w:t>
      </w:r>
      <w:r>
        <w:t xml:space="preserve"> ow</w:t>
      </w:r>
      <w:r>
        <w:t xml:space="preserve">ing thereunder, are subject to any right of offset, defense or </w:t>
      </w:r>
      <w:r>
        <w:t>counterclaim</w:t>
      </w:r>
      <w:r>
        <w:t xml:space="preserve"> of any kind or nature wh</w:t>
      </w:r>
      <w:r>
        <w:t>at</w:t>
      </w:r>
      <w:r>
        <w:t xml:space="preserve">soever.  Borrower </w:t>
      </w:r>
      <w:r>
        <w:t>. . .</w:t>
      </w:r>
      <w:r>
        <w:t xml:space="preserve"> hereby fully and forever waives, releases,</w:t>
      </w:r>
      <w:r>
        <w:t xml:space="preserve"> acquits, and discharges Lender </w:t>
      </w:r>
      <w:r>
        <w:t>. . .</w:t>
      </w:r>
      <w:r>
        <w:t xml:space="preserve"> </w:t>
      </w:r>
      <w:r>
        <w:t xml:space="preserve">from any and all </w:t>
      </w:r>
      <w:r>
        <w:t>liabilities</w:t>
      </w:r>
      <w:r>
        <w:t>, claims, demands, def</w:t>
      </w:r>
      <w:r>
        <w:t>enses, act</w:t>
      </w:r>
      <w:r>
        <w:t xml:space="preserve">ions, causes of action, rights </w:t>
      </w:r>
      <w:r>
        <w:t>. . .</w:t>
      </w:r>
      <w:r>
        <w:t xml:space="preserve"> whatsoever of any kind and nature (collectively ‘Claims’), known or unknown, which Borrower may now or hereafter have against Lender, existing or occurring prior to or as of the </w:t>
      </w:r>
      <w:r>
        <w:t>execution</w:t>
      </w:r>
      <w:r>
        <w:t xml:space="preserve"> and delivery of this Agreement by Lender and Borrowers, and which in any way, directly or indirectly relate to, result from or arise out of the Note, or this Agreement.  Borrowers hereby waive t</w:t>
      </w:r>
      <w:r>
        <w:t>he provisions of CCP § </w:t>
      </w:r>
      <w:r>
        <w:t>1542.</w:t>
      </w:r>
      <w:r>
        <w:t>”</w:t>
      </w:r>
      <w:r>
        <w:rPr>
          <w:rStyle w:val="FootnoteReference"/>
          <w:b/>
        </w:rPr>
        <w:footnoteReference w:id="1"/>
      </w:r>
    </w:p>
    <w:p w:rsidR="00237DC9" w:rsidRDefault="00497339" w:rsidP="0005105E">
      <w:pPr>
        <w:spacing w:line="360" w:lineRule="auto"/>
      </w:pPr>
      <w:r>
        <w:tab/>
        <w:t>The second paragraph of the r</w:t>
      </w:r>
      <w:r>
        <w:t xml:space="preserve">elease contained </w:t>
      </w:r>
      <w:r>
        <w:t xml:space="preserve">a </w:t>
      </w:r>
      <w:r>
        <w:t>waiver of Hardwick’s right</w:t>
      </w:r>
      <w:r>
        <w:t>s under Civil Code section 1542.</w:t>
      </w:r>
      <w:r>
        <w:t xml:space="preserve"> </w:t>
      </w:r>
      <w:r>
        <w:t xml:space="preserve"> </w:t>
      </w:r>
      <w:r>
        <w:t>S</w:t>
      </w:r>
      <w:r>
        <w:t xml:space="preserve">ection 1542 </w:t>
      </w:r>
      <w:r>
        <w:t>states</w:t>
      </w:r>
      <w:r>
        <w:t>:</w:t>
      </w:r>
      <w:r>
        <w:t xml:space="preserve"> “A general release does not extend to claims the creditor does not know or suspect to exist in his </w:t>
      </w:r>
      <w:r>
        <w:t xml:space="preserve">. . . </w:t>
      </w:r>
      <w:r>
        <w:t xml:space="preserve">favor at the time of execution of the </w:t>
      </w:r>
      <w:r>
        <w:t>release</w:t>
      </w:r>
      <w:r>
        <w:t>, whic</w:t>
      </w:r>
      <w:r>
        <w:t xml:space="preserve">h if known by him </w:t>
      </w:r>
      <w:r>
        <w:t xml:space="preserve">. . . </w:t>
      </w:r>
      <w:r>
        <w:t xml:space="preserve">must have materially affected his </w:t>
      </w:r>
      <w:r>
        <w:t xml:space="preserve">. . . </w:t>
      </w:r>
      <w:r>
        <w:t>settlement with the debtor.”</w:t>
      </w:r>
      <w:r>
        <w:t xml:space="preserve">  This statutory language was quoted in the ag</w:t>
      </w:r>
      <w:r>
        <w:t>reement in all capital letters.</w:t>
      </w:r>
    </w:p>
    <w:p w:rsidR="00A75C05" w:rsidRDefault="00497339" w:rsidP="0005105E">
      <w:pPr>
        <w:spacing w:line="360" w:lineRule="auto"/>
      </w:pPr>
      <w:r>
        <w:tab/>
        <w:t>The final p</w:t>
      </w:r>
      <w:r>
        <w:t>aragraph of the release stated:</w:t>
      </w:r>
      <w:r>
        <w:t xml:space="preserve"> “Borrower</w:t>
      </w:r>
      <w:r>
        <w:t xml:space="preserve"> acknowledges that he is aware th</w:t>
      </w:r>
      <w:r>
        <w:t xml:space="preserve">at he may hereafter </w:t>
      </w:r>
      <w:r>
        <w:t>discover</w:t>
      </w:r>
      <w:r>
        <w:t xml:space="preserve"> claims presently unknown or unsuspected, or facts in addition to or different from those that are </w:t>
      </w:r>
      <w:r>
        <w:t>known</w:t>
      </w:r>
      <w:r>
        <w:t xml:space="preserve"> or </w:t>
      </w:r>
      <w:r>
        <w:t>believed</w:t>
      </w:r>
      <w:r>
        <w:t xml:space="preserve"> to be true</w:t>
      </w:r>
      <w:r>
        <w:t>, as to the matters released herein.  Nevertheless, it is the intention of Borrower, through this Agr</w:t>
      </w:r>
      <w:r>
        <w:t xml:space="preserve">eement, to fully, finally and forever </w:t>
      </w:r>
      <w:r>
        <w:t>release</w:t>
      </w:r>
      <w:r>
        <w:t xml:space="preserve"> all such matte</w:t>
      </w:r>
      <w:r>
        <w:t>r</w:t>
      </w:r>
      <w:r>
        <w:t xml:space="preserve">s and all claims related </w:t>
      </w:r>
      <w:r>
        <w:t>thereto</w:t>
      </w:r>
      <w:r>
        <w:t xml:space="preserve"> that do now exist, may exist, or hereafter </w:t>
      </w:r>
      <w:r>
        <w:t>are</w:t>
      </w:r>
      <w:r>
        <w:t xml:space="preserve"> found to exist (subject to the limitations set forth he</w:t>
      </w:r>
      <w:r>
        <w:t>rein)</w:t>
      </w:r>
      <w:r>
        <w:t>.  In furtherance of su</w:t>
      </w:r>
      <w:r>
        <w:t>ch</w:t>
      </w:r>
      <w:r>
        <w:t xml:space="preserve"> intention, the </w:t>
      </w:r>
      <w:r>
        <w:t>release</w:t>
      </w:r>
      <w:r>
        <w:t xml:space="preserve"> herein</w:t>
      </w:r>
      <w:r>
        <w:t xml:space="preserve"> given shall be and remain in effect as a full and complete release of such matters, </w:t>
      </w:r>
      <w:r>
        <w:t>notwithstanding</w:t>
      </w:r>
      <w:r>
        <w:t xml:space="preserve"> the </w:t>
      </w:r>
      <w:r>
        <w:t>discovery</w:t>
      </w:r>
      <w:r>
        <w:t xml:space="preserve"> or existence of any such additional or </w:t>
      </w:r>
      <w:r>
        <w:t>different</w:t>
      </w:r>
      <w:r>
        <w:t xml:space="preserve"> claims or facts.  In entering into this Agreement, the parties herein do not rel</w:t>
      </w:r>
      <w:r>
        <w:t xml:space="preserve">y </w:t>
      </w:r>
      <w:r>
        <w:t>on any sta</w:t>
      </w:r>
      <w:r>
        <w:t>tement, repr</w:t>
      </w:r>
      <w:r>
        <w:t>esentation or promi</w:t>
      </w:r>
      <w:r>
        <w:t>se of any other party, except as expressly stated in this Agr</w:t>
      </w:r>
      <w:r>
        <w:t>e</w:t>
      </w:r>
      <w:r>
        <w:t>ement.  This r</w:t>
      </w:r>
      <w:r>
        <w:t>e</w:t>
      </w:r>
      <w:r>
        <w:t>lease applies to bo</w:t>
      </w:r>
      <w:r>
        <w:t>t</w:t>
      </w:r>
      <w:r>
        <w:t>h of the Loans.”</w:t>
      </w:r>
    </w:p>
    <w:p w:rsidR="00A071D2" w:rsidRPr="00DF10E6" w:rsidRDefault="00497339" w:rsidP="00DF10E6">
      <w:pPr>
        <w:keepNext/>
        <w:spacing w:line="360" w:lineRule="auto"/>
        <w:rPr>
          <w:b/>
        </w:rPr>
      </w:pPr>
      <w:r>
        <w:tab/>
      </w:r>
      <w:r w:rsidRPr="00DF10E6">
        <w:rPr>
          <w:b/>
        </w:rPr>
        <w:t>C.  The Present Action</w:t>
      </w:r>
    </w:p>
    <w:p w:rsidR="00393747" w:rsidRPr="00393747" w:rsidRDefault="00497339" w:rsidP="00393747">
      <w:pPr>
        <w:keepNext/>
        <w:spacing w:line="360" w:lineRule="auto"/>
        <w:rPr>
          <w:b/>
        </w:rPr>
      </w:pPr>
      <w:r>
        <w:tab/>
      </w:r>
      <w:r>
        <w:tab/>
      </w:r>
      <w:r w:rsidRPr="00393747">
        <w:rPr>
          <w:b/>
        </w:rPr>
        <w:t>1.  The Pleadings</w:t>
      </w:r>
    </w:p>
    <w:p w:rsidR="00126296" w:rsidRDefault="00497339" w:rsidP="007F0872">
      <w:pPr>
        <w:spacing w:line="360" w:lineRule="auto"/>
      </w:pPr>
      <w:r>
        <w:tab/>
      </w:r>
      <w:r>
        <w:t xml:space="preserve">On April 19, 2013, Hardwick </w:t>
      </w:r>
      <w:r>
        <w:t>filed this lawsuit</w:t>
      </w:r>
      <w:r>
        <w:t xml:space="preserve"> to recover usurious interest</w:t>
      </w:r>
      <w:r>
        <w:t xml:space="preserve"> and protect his collateral</w:t>
      </w:r>
      <w:r>
        <w:t>.</w:t>
      </w:r>
      <w:r>
        <w:t xml:space="preserve">  </w:t>
      </w:r>
      <w:r>
        <w:t xml:space="preserve">On April 23, Wilcox filed a notice of trustee’s sale in connection with </w:t>
      </w:r>
      <w:r>
        <w:t>his prior</w:t>
      </w:r>
      <w:r>
        <w:t xml:space="preserve"> notice of default on note #8.</w:t>
      </w:r>
      <w:r>
        <w:t xml:space="preserve">  </w:t>
      </w:r>
      <w:r>
        <w:t>The following month, Hardwick filed a</w:t>
      </w:r>
      <w:r>
        <w:t xml:space="preserve"> first amended c</w:t>
      </w:r>
      <w:r>
        <w:t xml:space="preserve">omplaint (FAC), </w:t>
      </w:r>
      <w:r>
        <w:t>alleging</w:t>
      </w:r>
      <w:r>
        <w:t xml:space="preserve"> causes</w:t>
      </w:r>
      <w:r>
        <w:t xml:space="preserve"> of action </w:t>
      </w:r>
      <w:r>
        <w:t>for recovery of</w:t>
      </w:r>
      <w:r>
        <w:t xml:space="preserve"> usur</w:t>
      </w:r>
      <w:r>
        <w:t>ious</w:t>
      </w:r>
      <w:r>
        <w:t xml:space="preserve"> interest</w:t>
      </w:r>
      <w:r>
        <w:t xml:space="preserve"> payments pursuant to a common count for money had and received</w:t>
      </w:r>
      <w:r>
        <w:t xml:space="preserve">; </w:t>
      </w:r>
      <w:r>
        <w:t xml:space="preserve">for </w:t>
      </w:r>
      <w:r>
        <w:t>cancellation of instrument</w:t>
      </w:r>
      <w:r>
        <w:t xml:space="preserve">, i.e., </w:t>
      </w:r>
      <w:r>
        <w:t xml:space="preserve">the </w:t>
      </w:r>
      <w:r>
        <w:t xml:space="preserve">release in the </w:t>
      </w:r>
      <w:r>
        <w:t>Forbearance Agreement</w:t>
      </w:r>
      <w:r>
        <w:t>; f</w:t>
      </w:r>
      <w:r>
        <w:t>or f</w:t>
      </w:r>
      <w:r>
        <w:t xml:space="preserve">ailure to reconvey title; </w:t>
      </w:r>
      <w:r>
        <w:t>and for declaratory and injunctive r</w:t>
      </w:r>
      <w:r>
        <w:t xml:space="preserve">elief to </w:t>
      </w:r>
      <w:r>
        <w:t>quiet title</w:t>
      </w:r>
      <w:r>
        <w:t xml:space="preserve"> and prevent the non</w:t>
      </w:r>
      <w:r>
        <w:t>judicial foreclosure proceeding.</w:t>
      </w:r>
    </w:p>
    <w:p w:rsidR="007F0872" w:rsidRDefault="00497339" w:rsidP="007F0872">
      <w:pPr>
        <w:spacing w:line="360" w:lineRule="auto"/>
      </w:pPr>
      <w:r>
        <w:tab/>
        <w:t>On May 29, 2013, the court issued a preliminary injunction, staying</w:t>
      </w:r>
      <w:r>
        <w:t xml:space="preserve"> and/or enjoining</w:t>
      </w:r>
      <w:r>
        <w:t xml:space="preserve"> </w:t>
      </w:r>
      <w:r>
        <w:t>non</w:t>
      </w:r>
      <w:r>
        <w:t>judicial foreclos</w:t>
      </w:r>
      <w:r>
        <w:t>ur</w:t>
      </w:r>
      <w:r>
        <w:t xml:space="preserve">e </w:t>
      </w:r>
      <w:r>
        <w:t>of the properties</w:t>
      </w:r>
      <w:r>
        <w:t xml:space="preserve"> securing note #8 and note #9</w:t>
      </w:r>
      <w:r>
        <w:t>.</w:t>
      </w:r>
    </w:p>
    <w:p w:rsidR="007F0872" w:rsidRDefault="00497339" w:rsidP="007F0872">
      <w:pPr>
        <w:spacing w:line="360" w:lineRule="auto"/>
      </w:pPr>
      <w:r>
        <w:tab/>
      </w:r>
      <w:r>
        <w:t>In June 2013, Wilcox fil</w:t>
      </w:r>
      <w:r>
        <w:t>ed a cross-complaint</w:t>
      </w:r>
      <w:r>
        <w:t>,</w:t>
      </w:r>
      <w:r>
        <w:t xml:space="preserve"> which he amended a year later.</w:t>
      </w:r>
      <w:r>
        <w:t xml:space="preserve">  </w:t>
      </w:r>
      <w:r>
        <w:t xml:space="preserve">In his </w:t>
      </w:r>
      <w:r>
        <w:t>first amended c</w:t>
      </w:r>
      <w:r>
        <w:t>ross</w:t>
      </w:r>
      <w:r>
        <w:t>-complaint</w:t>
      </w:r>
      <w:r>
        <w:t xml:space="preserve"> (FA</w:t>
      </w:r>
      <w:r>
        <w:t>C</w:t>
      </w:r>
      <w:r>
        <w:t>C), Wilcox alleged causes of action for breach of note #8 and note #9; judicial foreclosure</w:t>
      </w:r>
      <w:r>
        <w:t xml:space="preserve"> as to both notes</w:t>
      </w:r>
      <w:r>
        <w:t>; specific performance</w:t>
      </w:r>
      <w:r>
        <w:t xml:space="preserve"> as to both notes</w:t>
      </w:r>
      <w:r>
        <w:t>; elder abuse;</w:t>
      </w:r>
      <w:r>
        <w:t xml:space="preserve"> and declaratory relief.</w:t>
      </w:r>
      <w:r>
        <w:t xml:space="preserve">  </w:t>
      </w:r>
      <w:r>
        <w:t xml:space="preserve">The declaratory relief </w:t>
      </w:r>
      <w:r>
        <w:t xml:space="preserve">claim </w:t>
      </w:r>
      <w:r>
        <w:t>pertained to the validity of the release in the Forbearance Agreement; Wilcox sought a judicial declaration that Hardwick waived his right to recover any usurious interest that was paid prior to August</w:t>
      </w:r>
      <w:r>
        <w:t xml:space="preserve"> 1, 2012, the date the Forbearance Agreement was executed.</w:t>
      </w:r>
    </w:p>
    <w:p w:rsidR="00460F49" w:rsidRPr="00460F49" w:rsidRDefault="00497339" w:rsidP="00460F49">
      <w:pPr>
        <w:keepNext/>
        <w:spacing w:line="360" w:lineRule="auto"/>
        <w:rPr>
          <w:b/>
        </w:rPr>
      </w:pPr>
      <w:r>
        <w:tab/>
      </w:r>
      <w:r>
        <w:tab/>
      </w:r>
      <w:r w:rsidRPr="00460F49">
        <w:rPr>
          <w:b/>
        </w:rPr>
        <w:t>2.  The Court Trial</w:t>
      </w:r>
    </w:p>
    <w:p w:rsidR="00B971E9" w:rsidRDefault="00497339" w:rsidP="00CC7274">
      <w:pPr>
        <w:spacing w:line="360" w:lineRule="auto"/>
      </w:pPr>
      <w:r>
        <w:tab/>
        <w:t xml:space="preserve">The parties </w:t>
      </w:r>
      <w:r>
        <w:t>agreed that the</w:t>
      </w:r>
      <w:r>
        <w:t xml:space="preserve"> issue whether Hardwick waived his usury claim </w:t>
      </w:r>
      <w:r>
        <w:t xml:space="preserve">by signing the </w:t>
      </w:r>
      <w:r>
        <w:t>Forbearance Agreement</w:t>
      </w:r>
      <w:r>
        <w:t xml:space="preserve"> </w:t>
      </w:r>
      <w:r>
        <w:t xml:space="preserve">should be decided first.  Accordingly, they stipulated to a bifurcated court trial on Hardwick’s cause of action for cancelation of instrument and Wilcox’s cause of </w:t>
      </w:r>
      <w:r>
        <w:t>action for declaratory relief.</w:t>
      </w:r>
    </w:p>
    <w:p w:rsidR="00252D61" w:rsidRDefault="00497339" w:rsidP="00CC7274">
      <w:pPr>
        <w:spacing w:line="360" w:lineRule="auto"/>
      </w:pPr>
      <w:r>
        <w:tab/>
        <w:t xml:space="preserve">The court trial was held on September 15, 2014.  </w:t>
      </w:r>
      <w:r>
        <w:t xml:space="preserve">The court </w:t>
      </w:r>
      <w:r>
        <w:t>admitted</w:t>
      </w:r>
      <w:r>
        <w:t xml:space="preserve"> evidence </w:t>
      </w:r>
      <w:r>
        <w:t>documenting the parties’ lending relationship</w:t>
      </w:r>
      <w:r>
        <w:t xml:space="preserve"> pertaining to </w:t>
      </w:r>
      <w:r>
        <w:t>note #</w:t>
      </w:r>
      <w:r>
        <w:t xml:space="preserve">1 through note #9.  Both </w:t>
      </w:r>
      <w:r>
        <w:t>parties acknowledged that every loan bore an interest rate of 12</w:t>
      </w:r>
      <w:r>
        <w:t xml:space="preserve"> percent</w:t>
      </w:r>
      <w:r>
        <w:t xml:space="preserve"> except for one that bore an interest rate of 11</w:t>
      </w:r>
      <w:r>
        <w:t xml:space="preserve"> percent</w:t>
      </w:r>
      <w:r>
        <w:t xml:space="preserve">.  For purposes of </w:t>
      </w:r>
      <w:r>
        <w:t xml:space="preserve">this phase of the trial only, the court assumed </w:t>
      </w:r>
      <w:r>
        <w:t xml:space="preserve">without deciding </w:t>
      </w:r>
      <w:r>
        <w:t xml:space="preserve">that all of the notes violated California </w:t>
      </w:r>
      <w:r>
        <w:t>u</w:t>
      </w:r>
      <w:r>
        <w:t>sury law and focused exclusively on the question whether “cla</w:t>
      </w:r>
      <w:r>
        <w:t>ims of usury have been waived.”</w:t>
      </w:r>
    </w:p>
    <w:p w:rsidR="00252D61" w:rsidRDefault="00497339" w:rsidP="00CC7274">
      <w:pPr>
        <w:spacing w:line="360" w:lineRule="auto"/>
      </w:pPr>
      <w:r>
        <w:tab/>
        <w:t>Hardwick and Wilcox</w:t>
      </w:r>
      <w:r>
        <w:t>, the only trial witnesses,</w:t>
      </w:r>
      <w:r>
        <w:t xml:space="preserve"> testifi</w:t>
      </w:r>
      <w:r>
        <w:t xml:space="preserve">ed about the loans and the Forbearance Agreement they signed in August 2012.  </w:t>
      </w:r>
      <w:r>
        <w:t>Both men testified that they were unaware of the usury law when they signed the Forbearance Agreement.  Wilcox also testified that the sole purpose of the agreement was to ex</w:t>
      </w:r>
      <w:r>
        <w:t>tend</w:t>
      </w:r>
      <w:r>
        <w:t xml:space="preserve"> the due date of the loans.</w:t>
      </w:r>
    </w:p>
    <w:p w:rsidR="005126AC" w:rsidRDefault="00497339" w:rsidP="00DA7696">
      <w:pPr>
        <w:spacing w:line="360" w:lineRule="auto"/>
      </w:pPr>
      <w:r>
        <w:tab/>
        <w:t xml:space="preserve">On </w:t>
      </w:r>
      <w:r>
        <w:t xml:space="preserve">November 26, 2014, </w:t>
      </w:r>
      <w:r>
        <w:t xml:space="preserve">the </w:t>
      </w:r>
      <w:r>
        <w:t xml:space="preserve">trial </w:t>
      </w:r>
      <w:r>
        <w:t xml:space="preserve">court filed a </w:t>
      </w:r>
      <w:r>
        <w:t>“</w:t>
      </w:r>
      <w:r>
        <w:t>Final Statement of Decision and Order on Bifurcated Issues</w:t>
      </w:r>
      <w:r>
        <w:t>”</w:t>
      </w:r>
      <w:r>
        <w:t xml:space="preserve"> (the SOD).</w:t>
      </w:r>
      <w:r>
        <w:t xml:space="preserve"> </w:t>
      </w:r>
      <w:r>
        <w:t xml:space="preserve"> </w:t>
      </w:r>
      <w:r>
        <w:t>In that six-</w:t>
      </w:r>
      <w:r>
        <w:t>page order, the court summarized the pertinent facts and procedural history, and reiterated that</w:t>
      </w:r>
      <w:r>
        <w:t xml:space="preserve"> the sole issue was whether the Forbearance Agreement contained a </w:t>
      </w:r>
      <w:r>
        <w:t xml:space="preserve">valid waiver of usury violations. </w:t>
      </w:r>
      <w:r>
        <w:t xml:space="preserve"> Employing a two-step analysis, the court ultimately concluded that </w:t>
      </w:r>
      <w:r>
        <w:t>Hardwick did not waive his usury claim.</w:t>
      </w:r>
    </w:p>
    <w:p w:rsidR="00E269DA" w:rsidRDefault="00497339" w:rsidP="00CC7274">
      <w:pPr>
        <w:spacing w:line="360" w:lineRule="auto"/>
      </w:pPr>
      <w:r>
        <w:tab/>
        <w:t xml:space="preserve">First, the </w:t>
      </w:r>
      <w:r>
        <w:t>court found</w:t>
      </w:r>
      <w:r>
        <w:t xml:space="preserve"> that </w:t>
      </w:r>
      <w:r>
        <w:t>construing the rele</w:t>
      </w:r>
      <w:r>
        <w:t>ase as a waiver of usury would violate public policy.  (Citing Civ</w:t>
      </w:r>
      <w:r>
        <w:t>.</w:t>
      </w:r>
      <w:r>
        <w:t xml:space="preserve"> Code</w:t>
      </w:r>
      <w:r>
        <w:t>,</w:t>
      </w:r>
      <w:r>
        <w:t xml:space="preserve"> § 1668; </w:t>
      </w:r>
      <w:r w:rsidRPr="00702BB4">
        <w:rPr>
          <w:i/>
        </w:rPr>
        <w:t xml:space="preserve">Tiedje v. Aluminum Taper Milling Co. </w:t>
      </w:r>
      <w:r>
        <w:t>(1956) 46 Cal.2d 450.)</w:t>
      </w:r>
      <w:r>
        <w:t xml:space="preserve">  This conclusion was supported by findings of fact, including that the </w:t>
      </w:r>
      <w:r>
        <w:t>Forbearance Agreement</w:t>
      </w:r>
      <w:r>
        <w:t xml:space="preserve"> was </w:t>
      </w:r>
      <w:r>
        <w:t>(1)</w:t>
      </w:r>
      <w:r>
        <w:t> </w:t>
      </w:r>
      <w:r>
        <w:t xml:space="preserve">a “descendant obligation growing out </w:t>
      </w:r>
      <w:r>
        <w:t>of the original usurious loans”; (2)</w:t>
      </w:r>
      <w:r>
        <w:t> </w:t>
      </w:r>
      <w:r>
        <w:t xml:space="preserve">an </w:t>
      </w:r>
      <w:r>
        <w:t>extension of th</w:t>
      </w:r>
      <w:r>
        <w:t>at</w:t>
      </w:r>
      <w:r>
        <w:t xml:space="preserve"> </w:t>
      </w:r>
      <w:r>
        <w:t>original</w:t>
      </w:r>
      <w:r>
        <w:t xml:space="preserve"> usurious transaction</w:t>
      </w:r>
      <w:r>
        <w:t>; and (</w:t>
      </w:r>
      <w:r>
        <w:t>3</w:t>
      </w:r>
      <w:r>
        <w:t>)</w:t>
      </w:r>
      <w:r>
        <w:t> </w:t>
      </w:r>
      <w:r>
        <w:t xml:space="preserve">usurious in and of itself.  </w:t>
      </w:r>
      <w:r>
        <w:t xml:space="preserve">Under these circumstances, </w:t>
      </w:r>
      <w:r>
        <w:t>the court found, interpreting the release as a waiver of a usury cl</w:t>
      </w:r>
      <w:r>
        <w:t xml:space="preserve">aim would </w:t>
      </w:r>
      <w:r>
        <w:t>exempt Wilcox from the consequences of his viol</w:t>
      </w:r>
      <w:r>
        <w:t>ation of the usury law.</w:t>
      </w:r>
    </w:p>
    <w:p w:rsidR="00B733DB" w:rsidRDefault="00497339" w:rsidP="00CC7274">
      <w:pPr>
        <w:spacing w:line="360" w:lineRule="auto"/>
      </w:pPr>
      <w:r>
        <w:tab/>
      </w:r>
      <w:r>
        <w:t xml:space="preserve">Second, the court </w:t>
      </w:r>
      <w:r>
        <w:t>found that</w:t>
      </w:r>
      <w:r>
        <w:t xml:space="preserve"> even if </w:t>
      </w:r>
      <w:r>
        <w:t>Hardwick’s</w:t>
      </w:r>
      <w:r>
        <w:t xml:space="preserve"> usury claim could be waived</w:t>
      </w:r>
      <w:r>
        <w:t xml:space="preserve"> in </w:t>
      </w:r>
      <w:r>
        <w:t>the Forbearance Agreement</w:t>
      </w:r>
      <w:r>
        <w:t xml:space="preserve">, the release was not </w:t>
      </w:r>
      <w:r>
        <w:t>a knowing waiver of a usury claim</w:t>
      </w:r>
      <w:r>
        <w:t>,</w:t>
      </w:r>
      <w:r>
        <w:t xml:space="preserve"> but rather a perpetuation of a violation of the usury law.  This fact distinguished “dated case law” relied on by Wilcox which involved settlements of a known usury claim.  (See</w:t>
      </w:r>
      <w:r>
        <w:t>,</w:t>
      </w:r>
      <w:r>
        <w:t xml:space="preserve"> e.g.</w:t>
      </w:r>
      <w:r>
        <w:t>,</w:t>
      </w:r>
      <w:r>
        <w:t xml:space="preserve"> </w:t>
      </w:r>
      <w:r w:rsidRPr="00E269DA">
        <w:rPr>
          <w:i/>
        </w:rPr>
        <w:t>Credit Finance Corp. v. Mox</w:t>
      </w:r>
      <w:r>
        <w:t xml:space="preserve"> (1932) 125 Cal.App.</w:t>
      </w:r>
      <w:r>
        <w:t xml:space="preserve"> </w:t>
      </w:r>
      <w:r>
        <w:t>583 (</w:t>
      </w:r>
      <w:r w:rsidRPr="00E269DA">
        <w:rPr>
          <w:i/>
        </w:rPr>
        <w:t>Mox</w:t>
      </w:r>
      <w:r>
        <w:t xml:space="preserve">).)  </w:t>
      </w:r>
      <w:r>
        <w:t>In this c</w:t>
      </w:r>
      <w:r>
        <w:t xml:space="preserve">ase, the </w:t>
      </w:r>
      <w:r>
        <w:t>Forbearance Agreement</w:t>
      </w:r>
      <w:r>
        <w:t xml:space="preserve"> </w:t>
      </w:r>
      <w:r>
        <w:t>did not settle or otherwise substantively dispose of a</w:t>
      </w:r>
      <w:r>
        <w:t xml:space="preserve"> usury claim</w:t>
      </w:r>
      <w:r>
        <w:t xml:space="preserve">.  Rather, by all accounts, it was </w:t>
      </w:r>
      <w:r>
        <w:t xml:space="preserve">“an agreement to </w:t>
      </w:r>
      <w:r>
        <w:t>extend</w:t>
      </w:r>
      <w:r>
        <w:t xml:space="preserve"> the due date of the loan</w:t>
      </w:r>
      <w:r>
        <w:t>.”</w:t>
      </w:r>
    </w:p>
    <w:p w:rsidR="002E56F1" w:rsidRDefault="00497339" w:rsidP="0005105E">
      <w:pPr>
        <w:spacing w:line="360" w:lineRule="auto"/>
      </w:pPr>
      <w:r>
        <w:tab/>
        <w:t>At the conclusion of the SOD, the court stated: “As the court finds that</w:t>
      </w:r>
      <w:r>
        <w:t xml:space="preserve"> usury was not waived, the court grants relief on Hardwick’s second cause of action for cancellation of instrument in the [FAC] and declares that the waiver and release language in the Forbearance Agreement is invalid and unenforceable.  Relief on Wilcox’s</w:t>
      </w:r>
      <w:r>
        <w:t xml:space="preserve"> Eighth Cause of A</w:t>
      </w:r>
      <w:r>
        <w:t>ction in his [FACC] is denied.”</w:t>
      </w:r>
    </w:p>
    <w:p w:rsidR="002E56F1" w:rsidRPr="002E56F1" w:rsidRDefault="00497339" w:rsidP="002E56F1">
      <w:pPr>
        <w:keepNext/>
        <w:spacing w:line="360" w:lineRule="auto"/>
        <w:rPr>
          <w:b/>
        </w:rPr>
      </w:pPr>
      <w:r>
        <w:tab/>
      </w:r>
      <w:r>
        <w:tab/>
      </w:r>
      <w:r>
        <w:rPr>
          <w:b/>
        </w:rPr>
        <w:t>3</w:t>
      </w:r>
      <w:r w:rsidRPr="002E56F1">
        <w:rPr>
          <w:b/>
        </w:rPr>
        <w:t>.  The Summary Judgment Rulings</w:t>
      </w:r>
    </w:p>
    <w:p w:rsidR="00386D2D" w:rsidRDefault="00497339" w:rsidP="0005105E">
      <w:pPr>
        <w:spacing w:line="360" w:lineRule="auto"/>
      </w:pPr>
      <w:r>
        <w:tab/>
        <w:t xml:space="preserve">At </w:t>
      </w:r>
      <w:r>
        <w:t>a May 2015</w:t>
      </w:r>
      <w:r>
        <w:t xml:space="preserve"> pre</w:t>
      </w:r>
      <w:r>
        <w:t>trial</w:t>
      </w:r>
      <w:r>
        <w:t xml:space="preserve"> hearing on the jury phase of </w:t>
      </w:r>
      <w:r>
        <w:t xml:space="preserve">this case, </w:t>
      </w:r>
      <w:r>
        <w:t>the court</w:t>
      </w:r>
      <w:r>
        <w:t xml:space="preserve"> postponed </w:t>
      </w:r>
      <w:r>
        <w:t xml:space="preserve">trial indefinitely </w:t>
      </w:r>
      <w:r>
        <w:t xml:space="preserve">so the parties could file </w:t>
      </w:r>
      <w:r>
        <w:t xml:space="preserve">cross-motions for summary judgment or </w:t>
      </w:r>
      <w:r>
        <w:t>summary adjudication.</w:t>
      </w:r>
      <w:r>
        <w:t xml:space="preserve">  </w:t>
      </w:r>
      <w:r>
        <w:t>Both parties filed their motions on June 30, the same day they filed a stipulation outlining the undisputed facts pertaining to the</w:t>
      </w:r>
      <w:r>
        <w:t>ir</w:t>
      </w:r>
      <w:r>
        <w:t xml:space="preserve"> lending history.</w:t>
      </w:r>
      <w:r>
        <w:rPr>
          <w:rStyle w:val="FootnoteReference"/>
          <w:b/>
        </w:rPr>
        <w:footnoteReference w:id="2"/>
      </w:r>
    </w:p>
    <w:p w:rsidR="00FB2611" w:rsidRDefault="00497339" w:rsidP="0005105E">
      <w:pPr>
        <w:spacing w:line="360" w:lineRule="auto"/>
      </w:pPr>
      <w:r>
        <w:tab/>
        <w:t xml:space="preserve">Hardwick sought summary judgment </w:t>
      </w:r>
      <w:r>
        <w:t>or summary adjudication of his claims that (1)</w:t>
      </w:r>
      <w:r>
        <w:t> </w:t>
      </w:r>
      <w:r>
        <w:t xml:space="preserve">Hardwick paid off note #8 and note #9 because the usurious interest </w:t>
      </w:r>
      <w:r>
        <w:t>he paid on</w:t>
      </w:r>
      <w:r>
        <w:t xml:space="preserve"> notes #1 through #9 </w:t>
      </w:r>
      <w:r>
        <w:t>were not actually interest payments but reductions of the</w:t>
      </w:r>
      <w:r>
        <w:t xml:space="preserve"> principal debts; </w:t>
      </w:r>
      <w:r>
        <w:t>and (2)</w:t>
      </w:r>
      <w:r>
        <w:t> </w:t>
      </w:r>
      <w:r>
        <w:t>Wilcox must refund interest payments Hardwick made on notes #8 and 9 withi</w:t>
      </w:r>
      <w:r>
        <w:t>n two years prior to the filing of his or</w:t>
      </w:r>
      <w:r>
        <w:t>iginal complaint in this case.</w:t>
      </w:r>
      <w:r>
        <w:t xml:space="preserve"> </w:t>
      </w:r>
      <w:r>
        <w:t xml:space="preserve"> </w:t>
      </w:r>
      <w:r>
        <w:t>Wilcox sought summary judgment or summary adjudication of his claims that (1)</w:t>
      </w:r>
      <w:r>
        <w:t> </w:t>
      </w:r>
      <w:r>
        <w:t xml:space="preserve">Hardwick defaulted on note #8 and note #9; </w:t>
      </w:r>
      <w:r>
        <w:t xml:space="preserve">and </w:t>
      </w:r>
      <w:r>
        <w:t>(2)</w:t>
      </w:r>
      <w:r>
        <w:t> </w:t>
      </w:r>
      <w:r>
        <w:t xml:space="preserve">Hardwick’s usury claims as to note #1 through note #7 </w:t>
      </w:r>
      <w:r>
        <w:t xml:space="preserve">are barred </w:t>
      </w:r>
      <w:r>
        <w:t>by the statute of limitations.</w:t>
      </w:r>
    </w:p>
    <w:p w:rsidR="00A00EA4" w:rsidRDefault="00497339" w:rsidP="0005105E">
      <w:pPr>
        <w:spacing w:line="360" w:lineRule="auto"/>
      </w:pPr>
      <w:r>
        <w:tab/>
        <w:t>On August 19, 201</w:t>
      </w:r>
      <w:r>
        <w:t>5</w:t>
      </w:r>
      <w:r>
        <w:t>, the trial court denied Wilcox’s motion in its entirety and grant</w:t>
      </w:r>
      <w:r>
        <w:t>ed</w:t>
      </w:r>
      <w:r>
        <w:t xml:space="preserve"> part of Hardwick’s motion.</w:t>
      </w:r>
      <w:r>
        <w:t xml:space="preserve"> </w:t>
      </w:r>
      <w:r>
        <w:t xml:space="preserve"> </w:t>
      </w:r>
      <w:r>
        <w:t>Because most of the material facts were covered by the stipulation, the summary judgment rulings w</w:t>
      </w:r>
      <w:r>
        <w:t>ere primarily legal in nature.  According to the court, the key issue was whether each numbered note, especially note #8 and note #9, was a new agreement that purged the prior usury, or whether they were renewals of the p</w:t>
      </w:r>
      <w:r>
        <w:t>rior usurious loan agreements.</w:t>
      </w:r>
    </w:p>
    <w:p w:rsidR="00565E1B" w:rsidRDefault="00497339" w:rsidP="0005105E">
      <w:pPr>
        <w:spacing w:line="360" w:lineRule="auto"/>
      </w:pPr>
      <w:r>
        <w:tab/>
        <w:t>The</w:t>
      </w:r>
      <w:r>
        <w:t xml:space="preserve"> court concluded that note #8 and note #9 “are part of a series of notes that simply renewed the debt evidenced by the predecessor usurious notes,” relying primarily on t</w:t>
      </w:r>
      <w:r>
        <w:t xml:space="preserve">he following undisputed facts: </w:t>
      </w:r>
      <w:r>
        <w:t>First, every</w:t>
      </w:r>
      <w:r>
        <w:t xml:space="preserve"> note in the series of </w:t>
      </w:r>
      <w:r>
        <w:t>15</w:t>
      </w:r>
      <w:r>
        <w:t xml:space="preserve"> promissory notes </w:t>
      </w:r>
      <w:r>
        <w:t xml:space="preserve">and/or modifications of promissory notes that Hardwick executed in favor of Wilcox </w:t>
      </w:r>
      <w:r>
        <w:t>“contained a usurious, and therefore legally unenforceabl</w:t>
      </w:r>
      <w:r>
        <w:t xml:space="preserve">e, interest rate.”  </w:t>
      </w:r>
      <w:r>
        <w:t>Second, the principal amounts owed on note #8 and note #9 “include unpaid usurious interest accr</w:t>
      </w:r>
      <w:r>
        <w:t xml:space="preserve">ued from the prior Notes.”  Third, Hardwick paid a total of $1,555,909.83 on the notes at issue in this case, none of which </w:t>
      </w:r>
      <w:r>
        <w:t xml:space="preserve">had reduced </w:t>
      </w:r>
      <w:r>
        <w:t>the</w:t>
      </w:r>
      <w:r>
        <w:t xml:space="preserve"> principal balance of any note.</w:t>
      </w:r>
    </w:p>
    <w:p w:rsidR="001D2EA1" w:rsidRDefault="00497339" w:rsidP="0005105E">
      <w:pPr>
        <w:spacing w:line="360" w:lineRule="auto"/>
      </w:pPr>
      <w:r>
        <w:tab/>
        <w:t>The court then conclude</w:t>
      </w:r>
      <w:r>
        <w:t>d that Hardwick paid off note #</w:t>
      </w:r>
      <w:r>
        <w:t>8 and note #9 because the undi</w:t>
      </w:r>
      <w:r>
        <w:t>sputed evidence showed that Hardwick’s payments on the usurious loans totaled $1,555,909.83 and the combined principal amount of the two remaining loan</w:t>
      </w:r>
      <w:r>
        <w:t xml:space="preserve">s was $1,462,000.  </w:t>
      </w:r>
      <w:r>
        <w:t>As legal support for this conclusion, the court applied the rule that an “attempt to e</w:t>
      </w:r>
      <w:r>
        <w:t>xtract usurious interest renders the interest provisions of a note void, such that all payments made on the note go toward reducing its principal.”  (Citing, e.g.</w:t>
      </w:r>
      <w:r>
        <w:t>,</w:t>
      </w:r>
      <w:r>
        <w:t xml:space="preserve"> </w:t>
      </w:r>
      <w:r w:rsidRPr="001D2EA1">
        <w:rPr>
          <w:i/>
        </w:rPr>
        <w:t xml:space="preserve">Epstein v. </w:t>
      </w:r>
      <w:r w:rsidRPr="00710DDA">
        <w:rPr>
          <w:i/>
        </w:rPr>
        <w:t>Frank</w:t>
      </w:r>
      <w:r w:rsidRPr="00685D52">
        <w:t xml:space="preserve">, </w:t>
      </w:r>
      <w:r w:rsidRPr="00710DDA">
        <w:rPr>
          <w:i/>
        </w:rPr>
        <w:t>supra</w:t>
      </w:r>
      <w:r w:rsidRPr="00685D52">
        <w:t xml:space="preserve">, </w:t>
      </w:r>
      <w:r>
        <w:t xml:space="preserve">125 Cal.App.3d </w:t>
      </w:r>
      <w:r>
        <w:t>at pp.</w:t>
      </w:r>
      <w:r>
        <w:t> </w:t>
      </w:r>
      <w:r>
        <w:t>122</w:t>
      </w:r>
      <w:r>
        <w:noBreakHyphen/>
        <w:t>123.)</w:t>
      </w:r>
    </w:p>
    <w:p w:rsidR="00565ACF" w:rsidRDefault="00497339" w:rsidP="0074761F">
      <w:pPr>
        <w:spacing w:line="360" w:lineRule="auto"/>
      </w:pPr>
      <w:r>
        <w:tab/>
        <w:t>In reaching these conclusions, the</w:t>
      </w:r>
      <w:r>
        <w:t xml:space="preserve"> court</w:t>
      </w:r>
      <w:r>
        <w:t xml:space="preserve"> found that</w:t>
      </w:r>
      <w:r>
        <w:t xml:space="preserve"> Wilcox’s </w:t>
      </w:r>
      <w:r>
        <w:t>statute of li</w:t>
      </w:r>
      <w:r>
        <w:t>mitations theory was “misplaced”</w:t>
      </w:r>
      <w:r>
        <w:t xml:space="preserve"> because Hardwick </w:t>
      </w:r>
      <w:r>
        <w:t>did not seek</w:t>
      </w:r>
      <w:r>
        <w:t xml:space="preserve"> an affirmative recovery of the interest paid on note #1 through note #7.  Instead, those payments could properly be used </w:t>
      </w:r>
      <w:r>
        <w:t>as a set off against the</w:t>
      </w:r>
      <w:r>
        <w:t xml:space="preserve"> princip</w:t>
      </w:r>
      <w:r>
        <w:t>al debt because notes #8 and #9 are successors to notes #1 through #7 in a “series of usurious notes that constitute renewals of the same debt.”  As support for this conclusion, the court applied the rule that in an action to collect a usurious debt, the u</w:t>
      </w:r>
      <w:r>
        <w:t xml:space="preserve">surious payments are </w:t>
      </w:r>
      <w:r>
        <w:t xml:space="preserve">not </w:t>
      </w:r>
      <w:r>
        <w:t>barred by the statute of limitations so long as the usurious loan remains unpaid.</w:t>
      </w:r>
      <w:r>
        <w:t xml:space="preserve">  (Citing </w:t>
      </w:r>
      <w:r>
        <w:rPr>
          <w:i/>
        </w:rPr>
        <w:t>Shirley</w:t>
      </w:r>
      <w:r w:rsidRPr="00685D52">
        <w:t xml:space="preserve">, </w:t>
      </w:r>
      <w:r>
        <w:rPr>
          <w:i/>
        </w:rPr>
        <w:t>supra</w:t>
      </w:r>
      <w:r w:rsidRPr="00685D52">
        <w:t>,</w:t>
      </w:r>
      <w:r w:rsidRPr="00685D52">
        <w:t xml:space="preserve"> </w:t>
      </w:r>
      <w:r>
        <w:t>152 Cal.App.2d 666.)</w:t>
      </w:r>
    </w:p>
    <w:p w:rsidR="00A176EB" w:rsidRDefault="00497339" w:rsidP="0074761F">
      <w:pPr>
        <w:spacing w:line="360" w:lineRule="auto"/>
      </w:pPr>
      <w:r>
        <w:tab/>
        <w:t>The trial</w:t>
      </w:r>
      <w:r>
        <w:t xml:space="preserve"> court also found that in addition </w:t>
      </w:r>
      <w:r>
        <w:t xml:space="preserve">to </w:t>
      </w:r>
      <w:r>
        <w:t>the offset</w:t>
      </w:r>
      <w:r>
        <w:t xml:space="preserve">, Hardwick </w:t>
      </w:r>
      <w:r>
        <w:t>could</w:t>
      </w:r>
      <w:r>
        <w:t xml:space="preserve"> recover “any usurious intere</w:t>
      </w:r>
      <w:r>
        <w:t xml:space="preserve">st paid to Wilcox on Note 8 and Note 9 in the two years before this case was filed.”  (Citing </w:t>
      </w:r>
      <w:r w:rsidRPr="00146055">
        <w:rPr>
          <w:i/>
        </w:rPr>
        <w:t>Stock</w:t>
      </w:r>
      <w:r>
        <w:rPr>
          <w:i/>
        </w:rPr>
        <w:t xml:space="preserve"> v. Meek </w:t>
      </w:r>
      <w:r w:rsidRPr="00A95B2F">
        <w:t>(1950)</w:t>
      </w:r>
      <w:r>
        <w:t xml:space="preserve"> 35 Cal.2d 809, 817 (</w:t>
      </w:r>
      <w:r w:rsidRPr="00A95B2F">
        <w:rPr>
          <w:i/>
        </w:rPr>
        <w:t>Stock</w:t>
      </w:r>
      <w:r>
        <w:t xml:space="preserve">).)  In his summary judgment papers, Hardwick argued that the undisputed loan history established </w:t>
      </w:r>
      <w:r>
        <w:t xml:space="preserve">that he </w:t>
      </w:r>
      <w:r>
        <w:t>was entitl</w:t>
      </w:r>
      <w:r>
        <w:t>ed to recover $227,235.83 (plus interest)</w:t>
      </w:r>
      <w:r>
        <w:t xml:space="preserve">. </w:t>
      </w:r>
      <w:r>
        <w:t xml:space="preserve"> In its summary</w:t>
      </w:r>
      <w:r>
        <w:t xml:space="preserve"> judgment</w:t>
      </w:r>
      <w:r>
        <w:t xml:space="preserve"> order, </w:t>
      </w:r>
      <w:r>
        <w:t xml:space="preserve">however, </w:t>
      </w:r>
      <w:r>
        <w:t>the trial court deferred ruling on the amount of the award because it did not understand how Hardwick’s calculat</w:t>
      </w:r>
      <w:r>
        <w:t>ions worked.</w:t>
      </w:r>
    </w:p>
    <w:p w:rsidR="004B6105" w:rsidRDefault="00497339" w:rsidP="0005105E">
      <w:pPr>
        <w:spacing w:line="360" w:lineRule="auto"/>
      </w:pPr>
      <w:r>
        <w:tab/>
      </w:r>
      <w:r>
        <w:t xml:space="preserve">Because the summary judgment </w:t>
      </w:r>
      <w:r>
        <w:t>rulings did</w:t>
      </w:r>
      <w:r>
        <w:t xml:space="preserve"> not </w:t>
      </w:r>
      <w:r>
        <w:t>resolve all the issues or causes</w:t>
      </w:r>
      <w:r>
        <w:t xml:space="preserve"> </w:t>
      </w:r>
      <w:r>
        <w:t>of action</w:t>
      </w:r>
      <w:r>
        <w:t xml:space="preserve">, the court’s order </w:t>
      </w:r>
      <w:r>
        <w:t xml:space="preserve">concluded as follows: </w:t>
      </w:r>
      <w:r>
        <w:t>“As part of any final judgment in this case following trial or otherwise, the judgment will provide that Hardwick owes Wilcox nothing on any of the Notes that are the subje</w:t>
      </w:r>
      <w:r>
        <w:t>ct of this action, and Hardwick owns the real property that secured those Notes free and clear of any deed of trust in favor of Wilcox.  The judgment shall further provide that Wilcox shall recover nothing on his First, Second, Fourth, and Fifth Cause</w:t>
      </w:r>
      <w:r>
        <w:t>s</w:t>
      </w:r>
      <w:r>
        <w:t xml:space="preserve"> of </w:t>
      </w:r>
      <w:r>
        <w:t>Action in his First Amended Cross</w:t>
      </w:r>
      <w:r>
        <w:t>-</w:t>
      </w:r>
      <w:r>
        <w:t>Complaint.”</w:t>
      </w:r>
    </w:p>
    <w:p w:rsidR="00F603F6" w:rsidRPr="00F603F6" w:rsidRDefault="00497339" w:rsidP="00F603F6">
      <w:pPr>
        <w:keepNext/>
        <w:spacing w:line="360" w:lineRule="auto"/>
        <w:rPr>
          <w:b/>
        </w:rPr>
      </w:pPr>
      <w:r>
        <w:tab/>
      </w:r>
      <w:r>
        <w:tab/>
      </w:r>
      <w:r w:rsidRPr="00F603F6">
        <w:rPr>
          <w:b/>
        </w:rPr>
        <w:t>4.  Judgment</w:t>
      </w:r>
    </w:p>
    <w:p w:rsidR="006D6239" w:rsidRDefault="00497339" w:rsidP="00560B0C">
      <w:pPr>
        <w:spacing w:line="360" w:lineRule="auto"/>
      </w:pPr>
      <w:r>
        <w:tab/>
        <w:t>On January 7, 2016, Hardwick filed a motion for judgment on the pleadings</w:t>
      </w:r>
      <w:r>
        <w:t>;</w:t>
      </w:r>
      <w:r>
        <w:t xml:space="preserve"> </w:t>
      </w:r>
      <w:r>
        <w:t>an order ascertaining the amount of recovery under the summarily adjudicated common count for recovery of usurious inte</w:t>
      </w:r>
      <w:r>
        <w:t>rest</w:t>
      </w:r>
      <w:r>
        <w:t>;</w:t>
      </w:r>
      <w:r>
        <w:t xml:space="preserve"> </w:t>
      </w:r>
      <w:r>
        <w:t>dismissal of pending claims and causes of action</w:t>
      </w:r>
      <w:r>
        <w:t xml:space="preserve">; </w:t>
      </w:r>
      <w:r>
        <w:t>and</w:t>
      </w:r>
      <w:r>
        <w:t xml:space="preserve"> </w:t>
      </w:r>
      <w:r>
        <w:t xml:space="preserve">entry </w:t>
      </w:r>
      <w:r>
        <w:t xml:space="preserve">of </w:t>
      </w:r>
      <w:r>
        <w:t xml:space="preserve">final judgment.  </w:t>
      </w:r>
      <w:r>
        <w:t xml:space="preserve">On February 16, 2016, the court </w:t>
      </w:r>
      <w:r>
        <w:t xml:space="preserve">granted Hardwick’s motion as unopposed and </w:t>
      </w:r>
      <w:r>
        <w:t>entered a final judgment.</w:t>
      </w:r>
    </w:p>
    <w:p w:rsidR="006D6239" w:rsidRDefault="00497339" w:rsidP="0005105E">
      <w:pPr>
        <w:spacing w:line="360" w:lineRule="auto"/>
      </w:pPr>
      <w:r>
        <w:tab/>
        <w:t>The judgment dismissed all causes of action in Wilcox’s FACC with pr</w:t>
      </w:r>
      <w:r>
        <w:t xml:space="preserve">ejudice, with the exception of </w:t>
      </w:r>
      <w:r>
        <w:t>his</w:t>
      </w:r>
      <w:r>
        <w:t xml:space="preserve"> cause of action for elder abuse, which had already been voluntarily dismissed without prejudice in December 2015.  The judgment further ordered that Wilcox was to take nothing from Har</w:t>
      </w:r>
      <w:r>
        <w:t xml:space="preserve">dwick in this action, stating: </w:t>
      </w:r>
      <w:r>
        <w:t xml:space="preserve">“Note </w:t>
      </w:r>
      <w:r>
        <w:t xml:space="preserve"># 8, which is the last note in the Wilcox (individually) series, and Note # 9, which is the last note in the Pensco </w:t>
      </w:r>
      <w:r w:rsidRPr="006D6239">
        <w:rPr>
          <w:i/>
        </w:rPr>
        <w:t>fbo</w:t>
      </w:r>
      <w:r>
        <w:t xml:space="preserve"> Wilcox series, have each been paid in full by Hardwick by offset </w:t>
      </w:r>
      <w:r w:rsidRPr="006D6239">
        <w:rPr>
          <w:i/>
        </w:rPr>
        <w:t>pro tanto</w:t>
      </w:r>
      <w:r>
        <w:t xml:space="preserve"> of usurious interest paid by Hardwick in each series, and the</w:t>
      </w:r>
      <w:r>
        <w:t xml:space="preserve"> principal debt of these promissory notes has been extinguished; therefore, Hardwick owes Wilcox nothing on any of the Notes that ar</w:t>
      </w:r>
      <w:r>
        <w:t>e the subject of this action.”</w:t>
      </w:r>
    </w:p>
    <w:p w:rsidR="00310A6C" w:rsidRDefault="00497339" w:rsidP="0005105E">
      <w:pPr>
        <w:spacing w:line="360" w:lineRule="auto"/>
      </w:pPr>
      <w:r>
        <w:tab/>
        <w:t>The judgment awarded</w:t>
      </w:r>
      <w:r>
        <w:t xml:space="preserve"> Hardwick the following relief:</w:t>
      </w:r>
      <w:r>
        <w:t xml:space="preserve"> On </w:t>
      </w:r>
      <w:r>
        <w:t>his</w:t>
      </w:r>
      <w:r>
        <w:t xml:space="preserve"> first </w:t>
      </w:r>
      <w:r>
        <w:t>cause</w:t>
      </w:r>
      <w:r>
        <w:t xml:space="preserve"> of action, to recover</w:t>
      </w:r>
      <w:r>
        <w:t xml:space="preserve"> usurious interest, </w:t>
      </w:r>
      <w:r>
        <w:t>Hardwick was awarded $227,235.83, plus prejudgment interest.</w:t>
      </w:r>
      <w:r>
        <w:t xml:space="preserve">  </w:t>
      </w:r>
      <w:r>
        <w:t xml:space="preserve">On his second cause of action for cancellation of instrument, judgment </w:t>
      </w:r>
      <w:r>
        <w:t>was entered in favor of Hardwick pursuant to the SOD</w:t>
      </w:r>
      <w:r>
        <w:t xml:space="preserve">, which established that </w:t>
      </w:r>
      <w:r>
        <w:t>the waiver and release lan</w:t>
      </w:r>
      <w:r>
        <w:t xml:space="preserve">guage in the </w:t>
      </w:r>
      <w:r>
        <w:t>Forbearance Agreement</w:t>
      </w:r>
      <w:r>
        <w:t xml:space="preserve"> was “invalid and unenforceable because of the taint of usury.”  </w:t>
      </w:r>
      <w:r>
        <w:t>On his remaining causes of action for declaratory and equitable relief, the court</w:t>
      </w:r>
      <w:r>
        <w:t xml:space="preserve"> entered judgment in favor of Hardwick, ordering Wilcox to take all proper a</w:t>
      </w:r>
      <w:r>
        <w:t xml:space="preserve">nd necessary steps to accomplish a reconveyance of the deeds of trust and to quiet Hardwick’s title to the properties </w:t>
      </w:r>
      <w:r>
        <w:t xml:space="preserve">he </w:t>
      </w:r>
      <w:r>
        <w:t>used to secure note #8 and note #9.</w:t>
      </w:r>
      <w:r>
        <w:t xml:space="preserve">  </w:t>
      </w:r>
      <w:r>
        <w:t>Hardwick was awarded reasonable attorney fees and costs of suit.</w:t>
      </w:r>
    </w:p>
    <w:p w:rsidR="00F72E64" w:rsidRPr="003B0411" w:rsidRDefault="00497339" w:rsidP="000F6205">
      <w:pPr>
        <w:keepNext/>
        <w:spacing w:line="360" w:lineRule="auto"/>
        <w:jc w:val="center"/>
        <w:rPr>
          <w:b/>
        </w:rPr>
      </w:pPr>
      <w:r>
        <w:rPr>
          <w:b/>
        </w:rPr>
        <w:t>IV</w:t>
      </w:r>
      <w:r w:rsidRPr="003B0411">
        <w:rPr>
          <w:b/>
        </w:rPr>
        <w:t>.  DISCUSSION</w:t>
      </w:r>
    </w:p>
    <w:p w:rsidR="00F72E64" w:rsidRDefault="00497339" w:rsidP="005355A9">
      <w:pPr>
        <w:keepNext/>
        <w:spacing w:line="360" w:lineRule="auto"/>
        <w:rPr>
          <w:b/>
        </w:rPr>
      </w:pPr>
      <w:r>
        <w:tab/>
      </w:r>
      <w:r w:rsidRPr="00083BE5">
        <w:rPr>
          <w:b/>
        </w:rPr>
        <w:t xml:space="preserve">A.  </w:t>
      </w:r>
      <w:r>
        <w:rPr>
          <w:b/>
        </w:rPr>
        <w:t>Hardwick Did</w:t>
      </w:r>
      <w:r>
        <w:rPr>
          <w:b/>
        </w:rPr>
        <w:t xml:space="preserve"> Not Waive His Usury Claim</w:t>
      </w:r>
    </w:p>
    <w:p w:rsidR="00083BE5" w:rsidRDefault="00497339" w:rsidP="00155C55">
      <w:pPr>
        <w:spacing w:line="360" w:lineRule="auto"/>
      </w:pPr>
      <w:r>
        <w:rPr>
          <w:b/>
        </w:rPr>
        <w:tab/>
      </w:r>
      <w:r>
        <w:t xml:space="preserve">Wilcox contends that the trial court committed </w:t>
      </w:r>
      <w:r>
        <w:t>a reversible error of law</w:t>
      </w:r>
      <w:r>
        <w:t xml:space="preserve"> by concluding that a usury claim </w:t>
      </w:r>
      <w:r>
        <w:t>can never be</w:t>
      </w:r>
      <w:r>
        <w:t xml:space="preserve"> released.  </w:t>
      </w:r>
      <w:r>
        <w:t xml:space="preserve">This </w:t>
      </w:r>
      <w:r>
        <w:t>argument</w:t>
      </w:r>
      <w:r>
        <w:t xml:space="preserve"> mischaracterizes the trial court’s ruling.  As discussed above, the court found th</w:t>
      </w:r>
      <w:r>
        <w:t>at</w:t>
      </w:r>
      <w:r>
        <w:t xml:space="preserve"> th</w:t>
      </w:r>
      <w:r>
        <w:t>e release provision in th</w:t>
      </w:r>
      <w:r>
        <w:t>e</w:t>
      </w:r>
      <w:r>
        <w:t xml:space="preserve"> </w:t>
      </w:r>
      <w:r>
        <w:t>Forbearance Agreement</w:t>
      </w:r>
      <w:r>
        <w:t xml:space="preserve"> did not constitute a waiver of Hardwick’s usury claim against Wilcox because (1)</w:t>
      </w:r>
      <w:r>
        <w:t> </w:t>
      </w:r>
      <w:r>
        <w:t xml:space="preserve">exempting Wilcox from the consequences of usury </w:t>
      </w:r>
      <w:r>
        <w:t xml:space="preserve">would </w:t>
      </w:r>
      <w:r>
        <w:t>violate public policy, and (2)</w:t>
      </w:r>
      <w:r>
        <w:t> </w:t>
      </w:r>
      <w:r>
        <w:t>the parties did not know or intend tha</w:t>
      </w:r>
      <w:r>
        <w:t xml:space="preserve">t the release would waive a usury claim.  </w:t>
      </w:r>
      <w:r>
        <w:t>As we explain below, t</w:t>
      </w:r>
      <w:r>
        <w:t>hese findings</w:t>
      </w:r>
      <w:r>
        <w:t>,</w:t>
      </w:r>
      <w:r>
        <w:t xml:space="preserve"> made following a court trial</w:t>
      </w:r>
      <w:r>
        <w:t>,</w:t>
      </w:r>
      <w:r>
        <w:t xml:space="preserve"> were legally and factually sound.</w:t>
      </w:r>
    </w:p>
    <w:p w:rsidR="000F6205" w:rsidRDefault="00497339" w:rsidP="00155C55">
      <w:pPr>
        <w:spacing w:line="360" w:lineRule="auto"/>
      </w:pPr>
      <w:r>
        <w:tab/>
      </w:r>
      <w:r>
        <w:t>Wilcox cites no authority addressing</w:t>
      </w:r>
      <w:r>
        <w:t xml:space="preserve"> the specific question </w:t>
      </w:r>
      <w:r>
        <w:t xml:space="preserve">whether a party can </w:t>
      </w:r>
      <w:r>
        <w:t xml:space="preserve">ever </w:t>
      </w:r>
      <w:r>
        <w:t>waive the protections of the</w:t>
      </w:r>
      <w:r>
        <w:t xml:space="preserve"> usury law. </w:t>
      </w:r>
      <w:r>
        <w:t xml:space="preserve"> </w:t>
      </w:r>
      <w:r>
        <w:t>It is settled, however, that</w:t>
      </w:r>
      <w:r>
        <w:t xml:space="preserve"> such protections </w:t>
      </w:r>
      <w:r>
        <w:t>cannot be “</w:t>
      </w:r>
      <w:r>
        <w:t>waived by the voluntary payment of excessive interest by the borrower.”  (</w:t>
      </w:r>
      <w:r>
        <w:rPr>
          <w:i/>
        </w:rPr>
        <w:t>Stock</w:t>
      </w:r>
      <w:r w:rsidRPr="00685D52">
        <w:t xml:space="preserve">, </w:t>
      </w:r>
      <w:r>
        <w:rPr>
          <w:i/>
        </w:rPr>
        <w:t>supra</w:t>
      </w:r>
      <w:r w:rsidRPr="00685D52">
        <w:t xml:space="preserve">, </w:t>
      </w:r>
      <w:r>
        <w:t>35 Ca</w:t>
      </w:r>
      <w:r>
        <w:t xml:space="preserve">l.2d </w:t>
      </w:r>
      <w:r>
        <w:t>at p. </w:t>
      </w:r>
      <w:r>
        <w:t>81</w:t>
      </w:r>
      <w:r>
        <w:t>7</w:t>
      </w:r>
      <w:r>
        <w:t xml:space="preserve">.)  As the </w:t>
      </w:r>
      <w:r w:rsidRPr="002C27EB">
        <w:rPr>
          <w:i/>
        </w:rPr>
        <w:t>Stock</w:t>
      </w:r>
      <w:r>
        <w:t xml:space="preserve"> </w:t>
      </w:r>
      <w:r>
        <w:t>court explained: “The theory of</w:t>
      </w:r>
      <w:r>
        <w:t xml:space="preserve"> </w:t>
      </w:r>
      <w:r>
        <w:t>[</w:t>
      </w:r>
      <w:r>
        <w:t>usury</w:t>
      </w:r>
      <w:r>
        <w:t xml:space="preserve">] law is that </w:t>
      </w:r>
      <w:r>
        <w:t xml:space="preserve">society </w:t>
      </w:r>
      <w:r>
        <w:t>benefits by the prohibition of loans at excessive interest rates, even though both parties are willing to negotiate them.  Accordingly, ‘voluntary’ payments of interest do not waive the rights of the payors.  ‘Payments of usury are not considered voluntary</w:t>
      </w:r>
      <w:r>
        <w:t xml:space="preserve"> but are deemed to be made under restraint.’  [Citation.]  If no loophole is provided for lenders, and all borrowers save fraudulent ones are protected, usurious transactions will be discouraged.”  (</w:t>
      </w:r>
      <w:r>
        <w:rPr>
          <w:i/>
        </w:rPr>
        <w:t>Ibid</w:t>
      </w:r>
      <w:r>
        <w:t xml:space="preserve">.)  </w:t>
      </w:r>
      <w:r>
        <w:t xml:space="preserve">For similar reasons, the </w:t>
      </w:r>
      <w:r w:rsidRPr="00081795">
        <w:rPr>
          <w:i/>
        </w:rPr>
        <w:t>Stock</w:t>
      </w:r>
      <w:r>
        <w:t xml:space="preserve"> court found</w:t>
      </w:r>
      <w:r>
        <w:t xml:space="preserve">, </w:t>
      </w:r>
      <w:r>
        <w:t>the r</w:t>
      </w:r>
      <w:r>
        <w:t>elate</w:t>
      </w:r>
      <w:r>
        <w:t>d doctrine of “</w:t>
      </w:r>
      <w:r w:rsidRPr="00D72207">
        <w:rPr>
          <w:i/>
        </w:rPr>
        <w:t>in pari delicto</w:t>
      </w:r>
      <w:r>
        <w:t xml:space="preserve">” does not apply </w:t>
      </w:r>
      <w:r>
        <w:t>to prevent a borrower from recovering usurious interest payments</w:t>
      </w:r>
      <w:r>
        <w:t>.  (</w:t>
      </w:r>
      <w:r w:rsidRPr="002C27EB">
        <w:rPr>
          <w:i/>
        </w:rPr>
        <w:t>Id</w:t>
      </w:r>
      <w:r>
        <w:t>. at p.</w:t>
      </w:r>
      <w:r>
        <w:t> </w:t>
      </w:r>
      <w:r>
        <w:t xml:space="preserve">818; see also </w:t>
      </w:r>
      <w:r w:rsidRPr="00FF490C">
        <w:rPr>
          <w:i/>
        </w:rPr>
        <w:t>Heald v. Friis</w:t>
      </w:r>
      <w:r>
        <w:rPr>
          <w:i/>
        </w:rPr>
        <w:t>-H</w:t>
      </w:r>
      <w:r w:rsidRPr="00FF490C">
        <w:rPr>
          <w:i/>
        </w:rPr>
        <w:t>ansen</w:t>
      </w:r>
      <w:r>
        <w:t xml:space="preserve"> (1959) 52 Cal.2d 834, 837 [</w:t>
      </w:r>
      <w:r>
        <w:t>“[i]n the absence of fraud by the borrower, the parties to a us</w:t>
      </w:r>
      <w:r>
        <w:t xml:space="preserve">urious transaction are not </w:t>
      </w:r>
      <w:r w:rsidRPr="00FF490C">
        <w:rPr>
          <w:i/>
        </w:rPr>
        <w:t>in pari delicto</w:t>
      </w:r>
      <w:r>
        <w:t>”]</w:t>
      </w:r>
      <w:r>
        <w:t>.)</w:t>
      </w:r>
    </w:p>
    <w:p w:rsidR="0064781A" w:rsidRDefault="00497339" w:rsidP="00AA7F30">
      <w:pPr>
        <w:spacing w:line="360" w:lineRule="auto"/>
      </w:pPr>
      <w:r>
        <w:tab/>
        <w:t>Thus, as a starting point, it is clear that Hardwick did not waive the protections of the usury law either by executing usurious notes, paying u</w:t>
      </w:r>
      <w:r>
        <w:t>surious interest, or signing a forbearance a</w:t>
      </w:r>
      <w:r>
        <w:t xml:space="preserve">greement </w:t>
      </w:r>
      <w:r>
        <w:t xml:space="preserve">that </w:t>
      </w:r>
      <w:r>
        <w:t xml:space="preserve">obligated him to continue to make usurious interest payments.  Nevertheless, Wilcox contends </w:t>
      </w:r>
      <w:r>
        <w:t xml:space="preserve">that Hardwick did waive those protections </w:t>
      </w:r>
      <w:r>
        <w:t xml:space="preserve">in this case </w:t>
      </w:r>
      <w:r>
        <w:t>because the Forbearance Agreement also contained a unilateral general release of the borrow</w:t>
      </w:r>
      <w:r>
        <w:t>er’s claims again</w:t>
      </w:r>
      <w:r>
        <w:t>st the lender.</w:t>
      </w:r>
    </w:p>
    <w:p w:rsidR="00C37BBE" w:rsidRDefault="00497339" w:rsidP="00163DDD">
      <w:pPr>
        <w:spacing w:line="360" w:lineRule="auto"/>
      </w:pPr>
      <w:r>
        <w:tab/>
      </w:r>
      <w:r>
        <w:t xml:space="preserve">First, the record supports the trial court’s finding that construing this particular release as a waiver of usury would violate public policy.  </w:t>
      </w:r>
      <w:r>
        <w:t>Section 1668 of the Civil Code</w:t>
      </w:r>
      <w:r>
        <w:t xml:space="preserve"> states:</w:t>
      </w:r>
      <w:r w:rsidRPr="005355A9">
        <w:t xml:space="preserve"> </w:t>
      </w:r>
      <w:r>
        <w:t>“All contracts which have for their object, directly or i</w:t>
      </w:r>
      <w:r>
        <w:t>ndirectly, to exempt anyone from responsibility for his own fraud, or willful injury to the person or property of another, or violation of law, whether willful or negligent, are against the policy of the law.”</w:t>
      </w:r>
      <w:r>
        <w:t xml:space="preserve">  </w:t>
      </w:r>
      <w:r>
        <w:t>At trial,</w:t>
      </w:r>
      <w:r>
        <w:t xml:space="preserve"> Hardwick stipulated that the rate o</w:t>
      </w:r>
      <w:r>
        <w:t>f interest he set in every one of the notes in the series of notes at issue in this case exceed</w:t>
      </w:r>
      <w:r>
        <w:t>ed the</w:t>
      </w:r>
      <w:r>
        <w:t xml:space="preserve"> constitutional maximum rate.  </w:t>
      </w:r>
      <w:r>
        <w:t xml:space="preserve">This concession and other evidence regarding the interconnection between the series of </w:t>
      </w:r>
      <w:r>
        <w:t>15</w:t>
      </w:r>
      <w:r>
        <w:t xml:space="preserve"> notes and amendments to the notes </w:t>
      </w:r>
      <w:r>
        <w:t xml:space="preserve">substantially supports the trial court’s finding that the Forbearance Agreement was an extension of the underlying usurious loan transaction.  Thus, </w:t>
      </w:r>
      <w:r>
        <w:t>construing the</w:t>
      </w:r>
      <w:r>
        <w:t xml:space="preserve"> unilateral </w:t>
      </w:r>
      <w:r>
        <w:t xml:space="preserve">general </w:t>
      </w:r>
      <w:r>
        <w:t xml:space="preserve">release in that agreement as a waiver of </w:t>
      </w:r>
      <w:r>
        <w:t xml:space="preserve">usury would allow </w:t>
      </w:r>
      <w:r>
        <w:t xml:space="preserve">Wilcox </w:t>
      </w:r>
      <w:r>
        <w:t xml:space="preserve">to </w:t>
      </w:r>
      <w:r>
        <w:t xml:space="preserve">escape the consequences of his violation of the law by </w:t>
      </w:r>
      <w:r>
        <w:t xml:space="preserve">permitting him to benefit from his illegal contract and </w:t>
      </w:r>
      <w:r>
        <w:t>retain</w:t>
      </w:r>
      <w:r>
        <w:t xml:space="preserve"> the</w:t>
      </w:r>
      <w:r>
        <w:t xml:space="preserve"> usurious interest </w:t>
      </w:r>
      <w:r>
        <w:t>he extracted from Hardwick.</w:t>
      </w:r>
    </w:p>
    <w:p w:rsidR="00A707B8" w:rsidRDefault="00497339" w:rsidP="00AA7F30">
      <w:pPr>
        <w:spacing w:line="360" w:lineRule="auto"/>
      </w:pPr>
      <w:r>
        <w:tab/>
        <w:t>Turning to the second prong of the trial court’s analysis, assuming that policy concern</w:t>
      </w:r>
      <w:r>
        <w:t xml:space="preserve">s could be overcome, the </w:t>
      </w:r>
      <w:r>
        <w:t xml:space="preserve">court found that the unilateral release did not constitute a knowing waiver of Hardwick’s usury claim.  This finding was relevant because Wilcox </w:t>
      </w:r>
      <w:r>
        <w:t>attempted to invoke</w:t>
      </w:r>
      <w:r>
        <w:t xml:space="preserve"> the proposition that a usury claim can be </w:t>
      </w:r>
      <w:r>
        <w:t>released</w:t>
      </w:r>
      <w:r>
        <w:t xml:space="preserve"> in a settlement</w:t>
      </w:r>
      <w:r>
        <w:t xml:space="preserve"> agreement.  (See </w:t>
      </w:r>
      <w:r w:rsidRPr="0000021E">
        <w:rPr>
          <w:i/>
        </w:rPr>
        <w:t>Mox</w:t>
      </w:r>
      <w:r w:rsidRPr="00685D52">
        <w:t>,</w:t>
      </w:r>
      <w:r w:rsidRPr="0000021E">
        <w:rPr>
          <w:i/>
        </w:rPr>
        <w:t xml:space="preserve"> supra</w:t>
      </w:r>
      <w:r>
        <w:t>, 125 Cal.App.</w:t>
      </w:r>
      <w:r>
        <w:t xml:space="preserve"> at p.</w:t>
      </w:r>
      <w:r>
        <w:t> </w:t>
      </w:r>
      <w:r>
        <w:t xml:space="preserve">586.)  In the present case, the factual evidence showed that the release was not part of a settlement </w:t>
      </w:r>
      <w:r>
        <w:t>of a usury claim or</w:t>
      </w:r>
      <w:r>
        <w:t xml:space="preserve"> of</w:t>
      </w:r>
      <w:r>
        <w:t xml:space="preserve"> any other dispute.  Rather, the sole purpose of the </w:t>
      </w:r>
      <w:r>
        <w:t>Forbearance Agreement</w:t>
      </w:r>
      <w:r>
        <w:t xml:space="preserve"> </w:t>
      </w:r>
      <w:r>
        <w:t xml:space="preserve">was </w:t>
      </w:r>
      <w:r>
        <w:t xml:space="preserve">to </w:t>
      </w:r>
      <w:r>
        <w:t>e</w:t>
      </w:r>
      <w:r>
        <w:t>xten</w:t>
      </w:r>
      <w:r>
        <w:t>d the due dates for the loans.</w:t>
      </w:r>
    </w:p>
    <w:p w:rsidR="00054977" w:rsidRDefault="00497339" w:rsidP="00AA7F30">
      <w:pPr>
        <w:spacing w:line="360" w:lineRule="auto"/>
      </w:pPr>
      <w:r>
        <w:tab/>
      </w:r>
      <w:r>
        <w:t xml:space="preserve">On appeal, </w:t>
      </w:r>
      <w:r>
        <w:t xml:space="preserve">Wilcox contends that </w:t>
      </w:r>
      <w:r>
        <w:t>his interpretation of the</w:t>
      </w:r>
      <w:r>
        <w:t xml:space="preserve"> release</w:t>
      </w:r>
      <w:r>
        <w:t xml:space="preserve"> </w:t>
      </w:r>
      <w:r>
        <w:t>does</w:t>
      </w:r>
      <w:r>
        <w:t xml:space="preserve"> not violate public policy </w:t>
      </w:r>
      <w:r>
        <w:t xml:space="preserve">because it </w:t>
      </w:r>
      <w:r>
        <w:t>would</w:t>
      </w:r>
      <w:r>
        <w:t xml:space="preserve"> not exempt him from usury</w:t>
      </w:r>
      <w:r>
        <w:t>,</w:t>
      </w:r>
      <w:r>
        <w:t xml:space="preserve"> but only </w:t>
      </w:r>
      <w:r>
        <w:t>extinguish</w:t>
      </w:r>
      <w:r>
        <w:t xml:space="preserve"> an obligation </w:t>
      </w:r>
      <w:r>
        <w:t>that he previously owed to Hardwick.  Semanti</w:t>
      </w:r>
      <w:r>
        <w:t>cs aside, construing the release as a waiver of a usury claim would undermine the “theory” of California usury law</w:t>
      </w:r>
      <w:r>
        <w:t>,</w:t>
      </w:r>
      <w:r>
        <w:t xml:space="preserve"> which is “that society benefits by the prohibition of loans at excessive interest rates, even though both parties are willing to negotiate t</w:t>
      </w:r>
      <w:r>
        <w:t>hem.”  (</w:t>
      </w:r>
      <w:r w:rsidRPr="00856776">
        <w:rPr>
          <w:i/>
        </w:rPr>
        <w:t>Stock</w:t>
      </w:r>
      <w:r w:rsidRPr="00685D52">
        <w:t xml:space="preserve">, </w:t>
      </w:r>
      <w:r w:rsidRPr="00856776">
        <w:rPr>
          <w:i/>
        </w:rPr>
        <w:t>supra</w:t>
      </w:r>
      <w:r>
        <w:t>, 35 Cal.2d at p.</w:t>
      </w:r>
      <w:r>
        <w:t> 817.)</w:t>
      </w:r>
    </w:p>
    <w:p w:rsidR="00057FA1" w:rsidRDefault="00497339" w:rsidP="00AA7F30">
      <w:pPr>
        <w:spacing w:line="360" w:lineRule="auto"/>
      </w:pPr>
      <w:r>
        <w:tab/>
        <w:t xml:space="preserve">Wilcox cites </w:t>
      </w:r>
      <w:r w:rsidRPr="00657E18">
        <w:rPr>
          <w:i/>
        </w:rPr>
        <w:t>Case</w:t>
      </w:r>
      <w:r w:rsidRPr="00657E18">
        <w:rPr>
          <w:i/>
        </w:rPr>
        <w:t>y</w:t>
      </w:r>
      <w:r w:rsidRPr="00657E18">
        <w:rPr>
          <w:i/>
        </w:rPr>
        <w:t xml:space="preserve"> v. Proctor</w:t>
      </w:r>
      <w:r>
        <w:t xml:space="preserve"> (1963) 59 Cal.2d 97</w:t>
      </w:r>
      <w:r>
        <w:t>, 111 (</w:t>
      </w:r>
      <w:r w:rsidRPr="00F42E8C">
        <w:rPr>
          <w:i/>
        </w:rPr>
        <w:t>Casey</w:t>
      </w:r>
      <w:r>
        <w:t>)</w:t>
      </w:r>
      <w:r w:rsidRPr="00685D52">
        <w:t xml:space="preserve"> </w:t>
      </w:r>
      <w:r>
        <w:t xml:space="preserve">for the </w:t>
      </w:r>
      <w:r>
        <w:t xml:space="preserve">following </w:t>
      </w:r>
      <w:r>
        <w:t xml:space="preserve">proposition: </w:t>
      </w:r>
      <w:r>
        <w:t>“</w:t>
      </w:r>
      <w:r>
        <w:t>[</w:t>
      </w:r>
      <w:r>
        <w:t>T</w:t>
      </w:r>
      <w:r>
        <w:t>]</w:t>
      </w:r>
      <w:r>
        <w:t>he policy of the law is to encourage out</w:t>
      </w:r>
      <w:r>
        <w:t>-</w:t>
      </w:r>
      <w:r>
        <w:t>of</w:t>
      </w:r>
      <w:r>
        <w:t>-</w:t>
      </w:r>
      <w:r>
        <w:t>court sett</w:t>
      </w:r>
      <w:r>
        <w:t xml:space="preserve">lements.  To further this policy, the parties to a dispute </w:t>
      </w:r>
      <w:r>
        <w:t>should be encouraged to negotiate settlemen</w:t>
      </w:r>
      <w:r>
        <w:t xml:space="preserve">ts and to enter into releases.”  </w:t>
      </w:r>
      <w:r>
        <w:t>First, the</w:t>
      </w:r>
      <w:r>
        <w:t xml:space="preserve"> </w:t>
      </w:r>
      <w:r>
        <w:t xml:space="preserve">policy </w:t>
      </w:r>
      <w:r>
        <w:t>favoring out of court settlements does not benefit Wilcox</w:t>
      </w:r>
      <w:r>
        <w:t xml:space="preserve"> because the release in this case was not part of a settlement agreement.  Second, </w:t>
      </w:r>
      <w:r w:rsidRPr="00057FA1">
        <w:rPr>
          <w:i/>
        </w:rPr>
        <w:t>Casey</w:t>
      </w:r>
      <w:r w:rsidRPr="00685D52">
        <w:t xml:space="preserve">, </w:t>
      </w:r>
      <w:r w:rsidRPr="00057FA1">
        <w:rPr>
          <w:i/>
        </w:rPr>
        <w:t>supra</w:t>
      </w:r>
      <w:r>
        <w:t>, 59 Cal.2</w:t>
      </w:r>
      <w:r>
        <w:t>d 97</w:t>
      </w:r>
      <w:r>
        <w:t xml:space="preserve"> has nothing to do with usury law.  Th</w:t>
      </w:r>
      <w:r>
        <w:t>ird, the</w:t>
      </w:r>
      <w:r>
        <w:t xml:space="preserve"> </w:t>
      </w:r>
      <w:r>
        <w:rPr>
          <w:i/>
        </w:rPr>
        <w:t>Casey</w:t>
      </w:r>
      <w:r>
        <w:rPr>
          <w:i/>
        </w:rPr>
        <w:t xml:space="preserve"> </w:t>
      </w:r>
      <w:r w:rsidRPr="00835EB1">
        <w:t>court held that a general release in a settlement agreement</w:t>
      </w:r>
      <w:r>
        <w:rPr>
          <w:i/>
        </w:rPr>
        <w:t xml:space="preserve"> </w:t>
      </w:r>
      <w:r>
        <w:t>arising out of a car accident</w:t>
      </w:r>
      <w:r>
        <w:t xml:space="preserve"> did not bar </w:t>
      </w:r>
      <w:r>
        <w:t>a</w:t>
      </w:r>
      <w:r>
        <w:t xml:space="preserve"> personal injury claim that</w:t>
      </w:r>
      <w:r>
        <w:t xml:space="preserve"> plaintiff did not know </w:t>
      </w:r>
      <w:r>
        <w:t xml:space="preserve">he had </w:t>
      </w:r>
      <w:r>
        <w:t xml:space="preserve">or intend to release </w:t>
      </w:r>
      <w:r>
        <w:t>when he</w:t>
      </w:r>
      <w:r>
        <w:t xml:space="preserve"> </w:t>
      </w:r>
      <w:r>
        <w:t xml:space="preserve">executed </w:t>
      </w:r>
      <w:r>
        <w:t>the</w:t>
      </w:r>
      <w:r>
        <w:t xml:space="preserve"> release.  </w:t>
      </w:r>
      <w:r>
        <w:t>In the present case, the undisputed trial evidence established that neither party was aware of Hardwick’s usury claim when the Forbe</w:t>
      </w:r>
      <w:r>
        <w:t>arance Agreement was executed.</w:t>
      </w:r>
    </w:p>
    <w:p w:rsidR="00057FA1" w:rsidRDefault="00497339" w:rsidP="00AA7F30">
      <w:pPr>
        <w:spacing w:line="360" w:lineRule="auto"/>
      </w:pPr>
      <w:r>
        <w:tab/>
        <w:t xml:space="preserve">Wilcox argues that </w:t>
      </w:r>
      <w:r>
        <w:t>it is not relevant whether the parties knew about or intend</w:t>
      </w:r>
      <w:r>
        <w:t>ed to waive usury because the</w:t>
      </w:r>
      <w:r>
        <w:t xml:space="preserve"> release </w:t>
      </w:r>
      <w:r>
        <w:t>language</w:t>
      </w:r>
      <w:r>
        <w:t xml:space="preserve"> unequivocally and unambiguously applied to all known and unknown claims.  As support for this proposition, Wilcox cites </w:t>
      </w:r>
      <w:r w:rsidRPr="00BA4E89">
        <w:rPr>
          <w:i/>
        </w:rPr>
        <w:t>Winet v. Price</w:t>
      </w:r>
      <w:r>
        <w:t xml:space="preserve"> (1992) 4 Cal.App.4</w:t>
      </w:r>
      <w:r w:rsidRPr="00796316">
        <w:t>th</w:t>
      </w:r>
      <w:r>
        <w:t xml:space="preserve"> 1159, 1167</w:t>
      </w:r>
      <w:r>
        <w:t>,</w:t>
      </w:r>
      <w:r>
        <w:t xml:space="preserve"> which involved a general release of known and unknown claims that was signed as part of a settlement of an action to collect unpaid legal fees.  </w:t>
      </w:r>
      <w:r>
        <w:t>A</w:t>
      </w:r>
      <w:r>
        <w:t>gain</w:t>
      </w:r>
      <w:r>
        <w:t xml:space="preserve"> though</w:t>
      </w:r>
      <w:r>
        <w:t>, the present case raises a different issue because the Forbearance Agreement was not a settlement</w:t>
      </w:r>
      <w:r>
        <w:t xml:space="preserve"> agreement but an illegal contract that i</w:t>
      </w:r>
      <w:r>
        <w:t>tself violated the usury law.</w:t>
      </w:r>
    </w:p>
    <w:p w:rsidR="00FC259D" w:rsidRDefault="00497339" w:rsidP="00FC259D">
      <w:pPr>
        <w:spacing w:line="360" w:lineRule="auto"/>
      </w:pPr>
      <w:r>
        <w:tab/>
        <w:t>Wilcox contends that the right to recover usury damages is just like any other claim that is subject to being released.  As support for this argument, Wilcox relies on three cases in w</w:t>
      </w:r>
      <w:r>
        <w:t>hich courts allegedly upheld “settlement and releases of usury.”  (</w:t>
      </w:r>
      <w:r w:rsidRPr="00FC259D">
        <w:rPr>
          <w:i/>
        </w:rPr>
        <w:t>Mox, supra</w:t>
      </w:r>
      <w:r>
        <w:t>, 125 Cal.App. 583</w:t>
      </w:r>
      <w:r>
        <w:t>;</w:t>
      </w:r>
      <w:r>
        <w:t xml:space="preserve"> </w:t>
      </w:r>
      <w:r w:rsidRPr="00FC259D">
        <w:rPr>
          <w:i/>
        </w:rPr>
        <w:t>Lamb v. Herndon</w:t>
      </w:r>
      <w:r>
        <w:t xml:space="preserve"> (1929) 97 Cal.App.193 (</w:t>
      </w:r>
      <w:r w:rsidRPr="00FC259D">
        <w:rPr>
          <w:i/>
        </w:rPr>
        <w:t>Lamb</w:t>
      </w:r>
      <w:r>
        <w:t>)</w:t>
      </w:r>
      <w:r>
        <w:t>;</w:t>
      </w:r>
      <w:r>
        <w:t xml:space="preserve"> </w:t>
      </w:r>
      <w:r w:rsidRPr="00FC259D">
        <w:rPr>
          <w:i/>
        </w:rPr>
        <w:t>Woot</w:t>
      </w:r>
      <w:r>
        <w:rPr>
          <w:i/>
        </w:rPr>
        <w:t>o</w:t>
      </w:r>
      <w:r w:rsidRPr="00FC259D">
        <w:rPr>
          <w:i/>
        </w:rPr>
        <w:t xml:space="preserve">n v. Coerber </w:t>
      </w:r>
      <w:r>
        <w:t>(1963) 213 Cal.App.2d 142 (</w:t>
      </w:r>
      <w:r w:rsidRPr="00FC259D">
        <w:rPr>
          <w:i/>
        </w:rPr>
        <w:t>Woot</w:t>
      </w:r>
      <w:r>
        <w:rPr>
          <w:i/>
        </w:rPr>
        <w:t>o</w:t>
      </w:r>
      <w:r w:rsidRPr="00FC259D">
        <w:rPr>
          <w:i/>
        </w:rPr>
        <w:t>n</w:t>
      </w:r>
      <w:r>
        <w:t xml:space="preserve">).) </w:t>
      </w:r>
      <w:r>
        <w:t xml:space="preserve"> </w:t>
      </w:r>
      <w:r>
        <w:t>The cases are inapposite.</w:t>
      </w:r>
    </w:p>
    <w:p w:rsidR="00FC259D" w:rsidRDefault="00497339" w:rsidP="00FC259D">
      <w:pPr>
        <w:spacing w:line="360" w:lineRule="auto"/>
      </w:pPr>
      <w:r>
        <w:tab/>
        <w:t xml:space="preserve">In </w:t>
      </w:r>
      <w:r w:rsidRPr="00FC259D">
        <w:rPr>
          <w:i/>
        </w:rPr>
        <w:t>Mox</w:t>
      </w:r>
      <w:r>
        <w:t>, the parties had a bona</w:t>
      </w:r>
      <w:r>
        <w:t xml:space="preserve"> fide dispute as to whether the loans in question were usurious, and resolved that dispute in a settlement agreement.  Plaintiff unsuccessfully challenged the settlement agreement as being tainted by the underlying usurious loan.  (</w:t>
      </w:r>
      <w:r w:rsidRPr="00FC259D">
        <w:rPr>
          <w:i/>
        </w:rPr>
        <w:t>Mox</w:t>
      </w:r>
      <w:r w:rsidRPr="0052731F">
        <w:t xml:space="preserve">, </w:t>
      </w:r>
      <w:r w:rsidRPr="00FC259D">
        <w:rPr>
          <w:i/>
        </w:rPr>
        <w:t>supra</w:t>
      </w:r>
      <w:r>
        <w:t>,</w:t>
      </w:r>
      <w:r>
        <w:t xml:space="preserve"> 125 Cal.App.</w:t>
      </w:r>
      <w:r>
        <w:t xml:space="preserve"> at p.</w:t>
      </w:r>
      <w:r>
        <w:t> </w:t>
      </w:r>
      <w:r>
        <w:t>585.)  The Court of A</w:t>
      </w:r>
      <w:r>
        <w:t>ppeal affirmed, concluding that, in the absence of fraud or undue influence, a compromise agreement settling a dispute on the issue of usury is determinative of the parties’ rights</w:t>
      </w:r>
      <w:r>
        <w:t>,</w:t>
      </w:r>
      <w:r>
        <w:t xml:space="preserve"> and the </w:t>
      </w:r>
      <w:r>
        <w:t xml:space="preserve">debtor’s </w:t>
      </w:r>
      <w:r>
        <w:t xml:space="preserve">right to </w:t>
      </w:r>
      <w:r>
        <w:t>challenge</w:t>
      </w:r>
      <w:r>
        <w:t xml:space="preserve"> a previous</w:t>
      </w:r>
      <w:r>
        <w:t xml:space="preserve"> transaction </w:t>
      </w:r>
      <w:r>
        <w:t xml:space="preserve">as usurious </w:t>
      </w:r>
      <w:r>
        <w:t>ceases to exist.  (</w:t>
      </w:r>
      <w:r w:rsidRPr="00FC259D">
        <w:rPr>
          <w:i/>
        </w:rPr>
        <w:t>Id</w:t>
      </w:r>
      <w:r>
        <w:t>.</w:t>
      </w:r>
      <w:r>
        <w:t xml:space="preserve"> at p.</w:t>
      </w:r>
      <w:r>
        <w:t> </w:t>
      </w:r>
      <w:r>
        <w:t>586.)  Here, in contr</w:t>
      </w:r>
      <w:r>
        <w:t>ast, there was neither a pre</w:t>
      </w:r>
      <w:r>
        <w:t>existing dispute between the parties as to whether the loans were usurious nor a settlement agreement in compromise of such a dispute.</w:t>
      </w:r>
      <w:r>
        <w:t xml:space="preserve">  </w:t>
      </w:r>
      <w:r w:rsidRPr="00FC259D">
        <w:rPr>
          <w:i/>
        </w:rPr>
        <w:t>Lamb</w:t>
      </w:r>
      <w:r>
        <w:t xml:space="preserve"> and </w:t>
      </w:r>
      <w:r w:rsidRPr="00FC259D">
        <w:rPr>
          <w:i/>
        </w:rPr>
        <w:t>Woot</w:t>
      </w:r>
      <w:r>
        <w:rPr>
          <w:i/>
        </w:rPr>
        <w:t>o</w:t>
      </w:r>
      <w:r w:rsidRPr="00FC259D">
        <w:rPr>
          <w:i/>
        </w:rPr>
        <w:t>n</w:t>
      </w:r>
      <w:r>
        <w:t xml:space="preserve"> d</w:t>
      </w:r>
      <w:r>
        <w:t xml:space="preserve">id not involve usurious loans.  In </w:t>
      </w:r>
      <w:r w:rsidRPr="00FC259D">
        <w:rPr>
          <w:i/>
        </w:rPr>
        <w:t>Lamb</w:t>
      </w:r>
      <w:r>
        <w:t>, the plaintiffs claimed that a settlement reached with defendants was tainted by usury and unenforceable.  Plaintiffs alleged that defendants had loaned plaintiffs $12,500 to purchase property and then exacted a bonu</w:t>
      </w:r>
      <w:r>
        <w:t>s of $12,000 for the loan.  (</w:t>
      </w:r>
      <w:r w:rsidRPr="00FC259D">
        <w:rPr>
          <w:i/>
        </w:rPr>
        <w:t>Lamb</w:t>
      </w:r>
      <w:r w:rsidRPr="00A7161E">
        <w:t xml:space="preserve">, </w:t>
      </w:r>
      <w:r w:rsidRPr="00FC259D">
        <w:rPr>
          <w:i/>
        </w:rPr>
        <w:t>supra</w:t>
      </w:r>
      <w:r>
        <w:t>, 97 Cal.App. at p.</w:t>
      </w:r>
      <w:r>
        <w:t> </w:t>
      </w:r>
      <w:r>
        <w:t>198.)  The court found, however, that the bonus was not for the loan but for defendants’ additional agreement to finance and carry out the remodeling of the building on the property, and to demand</w:t>
      </w:r>
      <w:r>
        <w:t xml:space="preserve"> no payment until the work was completed.  Therefore, no usury was involved.  (</w:t>
      </w:r>
      <w:r w:rsidRPr="00FC259D">
        <w:rPr>
          <w:i/>
        </w:rPr>
        <w:t>Id</w:t>
      </w:r>
      <w:r>
        <w:t>. at p.</w:t>
      </w:r>
      <w:r>
        <w:t> </w:t>
      </w:r>
      <w:r>
        <w:t xml:space="preserve">200.)  In </w:t>
      </w:r>
      <w:r w:rsidRPr="00FC259D">
        <w:rPr>
          <w:i/>
        </w:rPr>
        <w:t>Woot</w:t>
      </w:r>
      <w:r>
        <w:rPr>
          <w:i/>
        </w:rPr>
        <w:t>o</w:t>
      </w:r>
      <w:r w:rsidRPr="00FC259D">
        <w:rPr>
          <w:i/>
        </w:rPr>
        <w:t>n</w:t>
      </w:r>
      <w:r>
        <w:t xml:space="preserve">, the parties to a settlement disputed whether monies paid by defendants to plaintiffs in the underlying transaction was a loan or a joint venture.  </w:t>
      </w:r>
      <w:r>
        <w:t>The court found it was a joint venture and therefore the usury laws did not apply.  (</w:t>
      </w:r>
      <w:r w:rsidRPr="00FC259D">
        <w:rPr>
          <w:i/>
        </w:rPr>
        <w:t>Woot</w:t>
      </w:r>
      <w:r>
        <w:rPr>
          <w:i/>
        </w:rPr>
        <w:t>o</w:t>
      </w:r>
      <w:r w:rsidRPr="00FC259D">
        <w:rPr>
          <w:i/>
        </w:rPr>
        <w:t>n</w:t>
      </w:r>
      <w:r w:rsidRPr="00A7161E">
        <w:t xml:space="preserve">, </w:t>
      </w:r>
      <w:r w:rsidRPr="00FC259D">
        <w:rPr>
          <w:i/>
        </w:rPr>
        <w:t>supra</w:t>
      </w:r>
      <w:r>
        <w:t>, 213 Cal.App.2d at p.</w:t>
      </w:r>
      <w:r>
        <w:t> 148.)</w:t>
      </w:r>
    </w:p>
    <w:p w:rsidR="008E0D6D" w:rsidRDefault="00497339" w:rsidP="00AA7F30">
      <w:pPr>
        <w:spacing w:line="360" w:lineRule="auto"/>
      </w:pPr>
      <w:r>
        <w:tab/>
        <w:t xml:space="preserve">For all these reasons, we affirm the finding by the trier of fact that Hardwick did not waive his usury claim against Wilcox by </w:t>
      </w:r>
      <w:r>
        <w:t xml:space="preserve">executing the </w:t>
      </w:r>
      <w:r>
        <w:t>Forbearance Agreement</w:t>
      </w:r>
      <w:r>
        <w:t>.</w:t>
      </w:r>
    </w:p>
    <w:p w:rsidR="008E0D6D" w:rsidRDefault="00497339" w:rsidP="00A4222D">
      <w:pPr>
        <w:keepNext/>
        <w:spacing w:line="360" w:lineRule="auto"/>
      </w:pPr>
      <w:r>
        <w:tab/>
      </w:r>
      <w:r w:rsidRPr="008E0D6D">
        <w:rPr>
          <w:b/>
        </w:rPr>
        <w:t xml:space="preserve">B.  </w:t>
      </w:r>
      <w:r>
        <w:rPr>
          <w:b/>
        </w:rPr>
        <w:t>Wilcox’s</w:t>
      </w:r>
      <w:r>
        <w:rPr>
          <w:b/>
        </w:rPr>
        <w:t xml:space="preserve"> Statute </w:t>
      </w:r>
      <w:r>
        <w:rPr>
          <w:b/>
        </w:rPr>
        <w:t>o</w:t>
      </w:r>
      <w:r>
        <w:rPr>
          <w:b/>
        </w:rPr>
        <w:t xml:space="preserve">f Limitations </w:t>
      </w:r>
      <w:r>
        <w:rPr>
          <w:b/>
        </w:rPr>
        <w:t>Defense Was Properly Denied</w:t>
      </w:r>
    </w:p>
    <w:p w:rsidR="00783F54" w:rsidRDefault="00497339" w:rsidP="00783F54">
      <w:pPr>
        <w:spacing w:line="360" w:lineRule="auto"/>
      </w:pPr>
      <w:r>
        <w:tab/>
      </w:r>
      <w:r>
        <w:t>A two-year statute of limitations applies to Hardwick’s cause of action to recover usurious interest.  (Code</w:t>
      </w:r>
      <w:r>
        <w:t xml:space="preserve"> Civ. Proc.</w:t>
      </w:r>
      <w:r>
        <w:t>,</w:t>
      </w:r>
      <w:r>
        <w:t xml:space="preserve"> § 339; </w:t>
      </w:r>
      <w:r>
        <w:rPr>
          <w:i/>
        </w:rPr>
        <w:t>Stock</w:t>
      </w:r>
      <w:r w:rsidRPr="00A41D3B">
        <w:t xml:space="preserve">, </w:t>
      </w:r>
      <w:r>
        <w:rPr>
          <w:i/>
        </w:rPr>
        <w:t>supra</w:t>
      </w:r>
      <w:r w:rsidRPr="00A41D3B">
        <w:t xml:space="preserve">, </w:t>
      </w:r>
      <w:r>
        <w:t>35 Cal.2d a</w:t>
      </w:r>
      <w:r>
        <w:t>t p.</w:t>
      </w:r>
      <w:r>
        <w:t> </w:t>
      </w:r>
      <w:r>
        <w:t>817.)</w:t>
      </w:r>
      <w:r>
        <w:rPr>
          <w:rStyle w:val="FootnoteReference"/>
          <w:b/>
        </w:rPr>
        <w:footnoteReference w:id="3"/>
      </w:r>
      <w:r>
        <w:t xml:space="preserve">  </w:t>
      </w:r>
      <w:r>
        <w:t xml:space="preserve">However, </w:t>
      </w:r>
      <w:r>
        <w:t>“</w:t>
      </w:r>
      <w:r>
        <w:t>[t]</w:t>
      </w:r>
      <w:r>
        <w:t>he cause of action to recover usurious interest does not accrue until the debtor actually pays excess interest.  [Citation</w:t>
      </w:r>
      <w:r>
        <w:t>.</w:t>
      </w:r>
      <w:r>
        <w:t xml:space="preserve">]  </w:t>
      </w:r>
      <w:r>
        <w:t>Since payments on a usurious note are deemed to apply first to principal, the statute of limitations doe</w:t>
      </w:r>
      <w:r>
        <w:t>s not begin to run until the debtor has paid the entire principal amount of the debt.  [Citation.]”  (</w:t>
      </w:r>
      <w:r w:rsidRPr="00665514">
        <w:rPr>
          <w:i/>
        </w:rPr>
        <w:t>Garver v. Brace</w:t>
      </w:r>
      <w:r>
        <w:t xml:space="preserve"> (1996) 47 Cal.App.4th 995, 1000.)</w:t>
      </w:r>
      <w:r w:rsidRPr="001542CC">
        <w:t xml:space="preserve"> </w:t>
      </w:r>
      <w:r>
        <w:t xml:space="preserve"> </w:t>
      </w:r>
      <w:r>
        <w:t>In other words, “no</w:t>
      </w:r>
      <w:r>
        <w:t xml:space="preserve"> part of usurious payment is barred by the statute of limitations as long as the usu</w:t>
      </w:r>
      <w:r>
        <w:t>rious loan remains unpaid.  [Citation.]”  (</w:t>
      </w:r>
      <w:r w:rsidRPr="00665514">
        <w:rPr>
          <w:i/>
        </w:rPr>
        <w:t>Forte v. Nolfi</w:t>
      </w:r>
      <w:r>
        <w:t xml:space="preserve"> (1972) 25 Cal.App.3d 656, 691, fn.</w:t>
      </w:r>
      <w:r>
        <w:t> </w:t>
      </w:r>
      <w:r>
        <w:t>11.)</w:t>
      </w:r>
    </w:p>
    <w:p w:rsidR="00626C9A" w:rsidRDefault="00497339" w:rsidP="00976B45">
      <w:pPr>
        <w:spacing w:line="360" w:lineRule="auto"/>
      </w:pPr>
      <w:r>
        <w:tab/>
        <w:t>In light of these established rules, Wilcox concedes that</w:t>
      </w:r>
      <w:r>
        <w:t xml:space="preserve"> Hardwick i</w:t>
      </w:r>
      <w:r>
        <w:t xml:space="preserve">s not barred from recovering usurious interest payments on note #8 and note #9 because those notes were </w:t>
      </w:r>
      <w:r>
        <w:t xml:space="preserve">unpaid </w:t>
      </w:r>
      <w:r>
        <w:t xml:space="preserve">when this lawsuit was filed.  However, Wilcox </w:t>
      </w:r>
      <w:r>
        <w:t>contends that th</w:t>
      </w:r>
      <w:r>
        <w:t xml:space="preserve">e trial court’s award </w:t>
      </w:r>
      <w:r>
        <w:t>of</w:t>
      </w:r>
      <w:r>
        <w:t xml:space="preserve"> $1,211,649 in interest payments </w:t>
      </w:r>
      <w:r>
        <w:t>cannot stand because it is</w:t>
      </w:r>
      <w:r>
        <w:t xml:space="preserve"> not limited to notes #8 and #9</w:t>
      </w:r>
      <w:r>
        <w:t>,</w:t>
      </w:r>
      <w:r>
        <w:t xml:space="preserve"> but also include</w:t>
      </w:r>
      <w:r>
        <w:t>s</w:t>
      </w:r>
      <w:r>
        <w:t xml:space="preserve"> payments that were</w:t>
      </w:r>
      <w:r>
        <w:t xml:space="preserve"> made on note #1 through note #7</w:t>
      </w:r>
      <w:r>
        <w:t>,</w:t>
      </w:r>
      <w:r>
        <w:t xml:space="preserve"> </w:t>
      </w:r>
      <w:r>
        <w:t>notwithstanding that those notes were all paid</w:t>
      </w:r>
      <w:r>
        <w:t xml:space="preserve"> off more than two years prior to</w:t>
      </w:r>
      <w:r>
        <w:t xml:space="preserve"> the</w:t>
      </w:r>
      <w:r>
        <w:t xml:space="preserve"> filing of Hardwick’s original complaint in this case. </w:t>
      </w:r>
      <w:r>
        <w:t xml:space="preserve"> </w:t>
      </w:r>
      <w:r>
        <w:t>In making this</w:t>
      </w:r>
      <w:r>
        <w:t xml:space="preserve"> claim, </w:t>
      </w:r>
      <w:r>
        <w:t xml:space="preserve">Wilcox </w:t>
      </w:r>
      <w:r>
        <w:t xml:space="preserve">not only conflates but </w:t>
      </w:r>
      <w:r>
        <w:t xml:space="preserve">misconstrues </w:t>
      </w:r>
      <w:r>
        <w:t>two sets of trial court rulings</w:t>
      </w:r>
      <w:r>
        <w:t>.</w:t>
      </w:r>
    </w:p>
    <w:p w:rsidR="0084120C" w:rsidRDefault="00497339" w:rsidP="000A6477">
      <w:pPr>
        <w:spacing w:line="360" w:lineRule="auto"/>
      </w:pPr>
      <w:r>
        <w:tab/>
        <w:t xml:space="preserve">First, the trial court found that Hardwick was entitled to offset all usurious interest he paid on inter-related notes </w:t>
      </w:r>
      <w:r>
        <w:t xml:space="preserve">against the principal debt evidenced by </w:t>
      </w:r>
      <w:r>
        <w:t xml:space="preserve">note #8 and </w:t>
      </w:r>
      <w:r>
        <w:t>note #9.</w:t>
      </w:r>
      <w:r>
        <w:t xml:space="preserve">  </w:t>
      </w:r>
      <w:r w:rsidRPr="0092080E">
        <w:rPr>
          <w:i/>
        </w:rPr>
        <w:t>Shirley</w:t>
      </w:r>
      <w:r w:rsidRPr="00A41D3B">
        <w:t xml:space="preserve">, </w:t>
      </w:r>
      <w:r>
        <w:rPr>
          <w:i/>
        </w:rPr>
        <w:t>supra</w:t>
      </w:r>
      <w:r w:rsidRPr="00A41D3B">
        <w:t xml:space="preserve">, </w:t>
      </w:r>
      <w:r>
        <w:t xml:space="preserve">152 Cal.App.2d </w:t>
      </w:r>
      <w:r>
        <w:t>at</w:t>
      </w:r>
      <w:r>
        <w:t xml:space="preserve"> </w:t>
      </w:r>
      <w:r>
        <w:t>p</w:t>
      </w:r>
      <w:r>
        <w:t>ages</w:t>
      </w:r>
      <w:r>
        <w:t xml:space="preserve"> 669</w:t>
      </w:r>
      <w:r>
        <w:noBreakHyphen/>
      </w:r>
      <w:r>
        <w:t>670</w:t>
      </w:r>
      <w:r>
        <w:t>, cited by the trial court, summarizes the following rules for offsetting usurious interest against princip</w:t>
      </w:r>
      <w:r>
        <w:t xml:space="preserve">al </w:t>
      </w:r>
      <w:r>
        <w:t>debt: (1)</w:t>
      </w:r>
      <w:r>
        <w:t> </w:t>
      </w:r>
      <w:r>
        <w:t>“the payments of usurious interest may be set off against the principal debt in</w:t>
      </w:r>
      <w:r>
        <w:t xml:space="preserve"> actions brought to collect the latter”; (2)</w:t>
      </w:r>
      <w:r>
        <w:t> </w:t>
      </w:r>
      <w:r>
        <w:t>“where a renewal note is given containing and providing for usurious interest, or where usurious interest is exacted, the defense of usury, not only in the particular note sued upon, but in all of its predecesso</w:t>
      </w:r>
      <w:r>
        <w:t>rs where it exists, if it exists at all, is availab</w:t>
      </w:r>
      <w:r>
        <w:t xml:space="preserve">le to the maker as a defense”; </w:t>
      </w:r>
      <w:r>
        <w:t>(3)</w:t>
      </w:r>
      <w:r>
        <w:t> </w:t>
      </w:r>
      <w:r>
        <w:t xml:space="preserve">“as between the parties to the transaction or holders with knowledge all payments of usurious interest made on a series of notes will be applied to the extinguishment of </w:t>
      </w:r>
      <w:r>
        <w:t>the debt and this even though the parties have treated such payments as payment of interest”; (4)</w:t>
      </w:r>
      <w:r>
        <w:t> </w:t>
      </w:r>
      <w:r>
        <w:t>“the instant a payment is made of usurious interest it is applied to the principal, and the principal indebtedness at the time of such payment is reduced to t</w:t>
      </w:r>
      <w:r>
        <w:t>he extent thereof”; and (5)</w:t>
      </w:r>
      <w:r>
        <w:t> </w:t>
      </w:r>
      <w:r>
        <w:t>“no part of the usurious payments is barred by the statute of limitations as long as the</w:t>
      </w:r>
      <w:r>
        <w:t xml:space="preserve"> usurious loan remains unpaid.”</w:t>
      </w:r>
    </w:p>
    <w:p w:rsidR="00DD1763" w:rsidRDefault="00497339" w:rsidP="000A6477">
      <w:pPr>
        <w:spacing w:line="360" w:lineRule="auto"/>
      </w:pPr>
      <w:r>
        <w:tab/>
        <w:t>Applying these rules to the summary judgment evidence, the trial court concluded that Hardwick paid off not</w:t>
      </w:r>
      <w:r>
        <w:t>e #8 and note #9 because the total usurious interest payments exceeded the total principal debt evidence</w:t>
      </w:r>
      <w:r>
        <w:t>d</w:t>
      </w:r>
      <w:r>
        <w:t xml:space="preserve"> by the two notes.  In reaching this conclusion, the court found that note #8 and #9 </w:t>
      </w:r>
      <w:r>
        <w:t>were both “</w:t>
      </w:r>
      <w:r>
        <w:t xml:space="preserve">part of a series of notes that simply renewed the debt </w:t>
      </w:r>
      <w:r>
        <w:t>evidenced by the predecessor usurious notes.”  This was a finding of fact supported by the undisputed evidence we have summarized above</w:t>
      </w:r>
      <w:r>
        <w:t>,</w:t>
      </w:r>
      <w:r>
        <w:t xml:space="preserve"> which demonstrates that every promissory note and amendment to a promissory note contained a usurious interest provisio</w:t>
      </w:r>
      <w:r>
        <w:t>n; every principal debt evidenced by note</w:t>
      </w:r>
      <w:r>
        <w:t xml:space="preserve"> #1 through note</w:t>
      </w:r>
      <w:r>
        <w:t xml:space="preserve"> #7 was rolled over into either note #8 or note #9; and unpaid usurious interest charges from these prior notes was also converted to principal and combined into note #8 </w:t>
      </w:r>
      <w:r>
        <w:t>and</w:t>
      </w:r>
      <w:r>
        <w:t xml:space="preserve"> note #9.</w:t>
      </w:r>
    </w:p>
    <w:p w:rsidR="00120F81" w:rsidRDefault="00497339" w:rsidP="000A6477">
      <w:pPr>
        <w:spacing w:line="360" w:lineRule="auto"/>
      </w:pPr>
      <w:r>
        <w:tab/>
      </w:r>
      <w:r>
        <w:t xml:space="preserve">As the trial court explained in its </w:t>
      </w:r>
      <w:r>
        <w:t>summary judgment order, the set</w:t>
      </w:r>
      <w:r>
        <w:t xml:space="preserve">off was not an award of affirmative relief </w:t>
      </w:r>
      <w:r>
        <w:t>to Hardwick</w:t>
      </w:r>
      <w:r>
        <w:t>, but a defense to Wilcox’s causes of action to recover on notes #8 and #9.  “</w:t>
      </w:r>
      <w:r>
        <w:t> ‘</w:t>
      </w:r>
      <w:r>
        <w:t>Where the lender brings an action to recover an indebte</w:t>
      </w:r>
      <w:r>
        <w:t xml:space="preserve">dness, none of the usurious payments, nor payments on renewal notes, are barred by limitation so as to preclude their use in the reduction of the principal debt. </w:t>
      </w:r>
      <w:r>
        <w:t xml:space="preserve"> </w:t>
      </w:r>
      <w:r>
        <w:t>[Citations.]</w:t>
      </w:r>
      <w:r>
        <w:t>’ </w:t>
      </w:r>
      <w:r>
        <w:t>”  (</w:t>
      </w:r>
      <w:r w:rsidRPr="0092080E">
        <w:rPr>
          <w:i/>
        </w:rPr>
        <w:t>Shirley</w:t>
      </w:r>
      <w:r w:rsidRPr="00A41D3B">
        <w:t xml:space="preserve">, </w:t>
      </w:r>
      <w:r>
        <w:rPr>
          <w:i/>
        </w:rPr>
        <w:t>supra</w:t>
      </w:r>
      <w:r w:rsidRPr="00A41D3B">
        <w:t xml:space="preserve">, </w:t>
      </w:r>
      <w:r>
        <w:t xml:space="preserve">152 Cal.App.2d </w:t>
      </w:r>
      <w:r>
        <w:t>at p.</w:t>
      </w:r>
      <w:r>
        <w:t> </w:t>
      </w:r>
      <w:r>
        <w:t>670</w:t>
      </w:r>
      <w:r>
        <w:t>.)</w:t>
      </w:r>
    </w:p>
    <w:p w:rsidR="000A6477" w:rsidRDefault="00497339" w:rsidP="000A6477">
      <w:pPr>
        <w:spacing w:line="360" w:lineRule="auto"/>
      </w:pPr>
      <w:r>
        <w:tab/>
        <w:t>Thus, contrary to Wilcox’s argu</w:t>
      </w:r>
      <w:r>
        <w:t xml:space="preserve">ment on appeal, Hardwick did not recover $1,211,649 in interest.  Rather, those interest payments </w:t>
      </w:r>
      <w:r>
        <w:t>reduced the</w:t>
      </w:r>
      <w:r>
        <w:t xml:space="preserve"> principal debt</w:t>
      </w:r>
      <w:r>
        <w:t xml:space="preserve"> at the time they were paid.  </w:t>
      </w:r>
      <w:r>
        <w:t>However, the court did make a separate set of findings pursuant to which it awarded Wilcox $227,235.83</w:t>
      </w:r>
      <w:r>
        <w:t xml:space="preserve"> (plus interest).  Making that award did not violate the statute of limitations either.</w:t>
      </w:r>
    </w:p>
    <w:p w:rsidR="0095690E" w:rsidRDefault="00497339" w:rsidP="0095690E">
      <w:pPr>
        <w:spacing w:line="360" w:lineRule="auto"/>
      </w:pPr>
      <w:r>
        <w:tab/>
        <w:t xml:space="preserve">The trial court found that in addition to </w:t>
      </w:r>
      <w:r>
        <w:t>the offset</w:t>
      </w:r>
      <w:r>
        <w:t>, Hardwick was entitled to recover “any usurious interest paid to Wilcox on Note 8 and Note 9 in the two years befo</w:t>
      </w:r>
      <w:r>
        <w:t xml:space="preserve">re this case was filed.”  (Citing </w:t>
      </w:r>
      <w:r w:rsidRPr="00146055">
        <w:rPr>
          <w:i/>
        </w:rPr>
        <w:t>Stock</w:t>
      </w:r>
      <w:r w:rsidRPr="00A41D3B">
        <w:t xml:space="preserve">, </w:t>
      </w:r>
      <w:r w:rsidRPr="00146055">
        <w:rPr>
          <w:i/>
        </w:rPr>
        <w:t>supra</w:t>
      </w:r>
      <w:r>
        <w:t>, 35 Cal.2d at p.</w:t>
      </w:r>
      <w:r>
        <w:t> </w:t>
      </w:r>
      <w:r>
        <w:t xml:space="preserve">817.)  As noted in our factual summary, </w:t>
      </w:r>
      <w:r>
        <w:t xml:space="preserve">during the summary judgment proceedings </w:t>
      </w:r>
      <w:r>
        <w:t>there was some confusion about how to calculate the amount of the award.  Apparently, that issue was resolved in</w:t>
      </w:r>
      <w:r>
        <w:t xml:space="preserve"> Hardwick’s unopposed motion for judgment on the pleadings and other related relief, because the final judgment awarded Hardwick $227,235.83, plus interest, on his first cause of action</w:t>
      </w:r>
      <w:r>
        <w:t xml:space="preserve"> to recover usurious interest.</w:t>
      </w:r>
    </w:p>
    <w:p w:rsidR="00C6675B" w:rsidRDefault="00497339" w:rsidP="0095690E">
      <w:pPr>
        <w:spacing w:line="360" w:lineRule="auto"/>
      </w:pPr>
      <w:r>
        <w:tab/>
      </w:r>
      <w:r>
        <w:t>Although neither party addresses this i</w:t>
      </w:r>
      <w:r>
        <w:t>ssue in the</w:t>
      </w:r>
      <w:r>
        <w:t>ir</w:t>
      </w:r>
      <w:r>
        <w:t xml:space="preserve"> appellate briefs, </w:t>
      </w:r>
      <w:r>
        <w:t>Hardwick</w:t>
      </w:r>
      <w:r>
        <w:t xml:space="preserve">’s </w:t>
      </w:r>
      <w:r>
        <w:t xml:space="preserve">calculation of </w:t>
      </w:r>
      <w:r>
        <w:t xml:space="preserve">$227,235.83 </w:t>
      </w:r>
      <w:r>
        <w:t>was explained and justified in his summary judgment papers.</w:t>
      </w:r>
      <w:r>
        <w:t xml:space="preserve"> </w:t>
      </w:r>
      <w:r>
        <w:t xml:space="preserve"> </w:t>
      </w:r>
      <w:r>
        <w:t xml:space="preserve">First, </w:t>
      </w:r>
      <w:r>
        <w:t>Hardwick</w:t>
      </w:r>
      <w:r>
        <w:t xml:space="preserve"> calculated a principal debt amount for note #8 and note #9</w:t>
      </w:r>
      <w:r>
        <w:t>,</w:t>
      </w:r>
      <w:r>
        <w:t xml:space="preserve"> which included the principal </w:t>
      </w:r>
      <w:r>
        <w:t xml:space="preserve">from </w:t>
      </w:r>
      <w:r>
        <w:t>each prior note</w:t>
      </w:r>
      <w:r>
        <w:t xml:space="preserve"> or amended </w:t>
      </w:r>
      <w:r>
        <w:t xml:space="preserve">note that had been rolled over, but </w:t>
      </w:r>
      <w:r>
        <w:t xml:space="preserve">excluded </w:t>
      </w:r>
      <w:r>
        <w:t xml:space="preserve">unpaid interest and late fees that had been converted to principal.  Then, </w:t>
      </w:r>
      <w:r>
        <w:t xml:space="preserve">Hardwick calculated </w:t>
      </w:r>
      <w:r>
        <w:t>pay</w:t>
      </w:r>
      <w:r>
        <w:t>off date</w:t>
      </w:r>
      <w:r>
        <w:t>s</w:t>
      </w:r>
      <w:r>
        <w:t xml:space="preserve"> for note #8 and note #9 by tracing and crediting interest payments on the debt to Wilcox individually against the principal balance of note #8 and the payments on the debt to Wilcox’s IRA against the principal balance of note #9.  Applying this formula, H</w:t>
      </w:r>
      <w:r>
        <w:t xml:space="preserve">ardwick </w:t>
      </w:r>
      <w:r>
        <w:t>demonstrated</w:t>
      </w:r>
      <w:r>
        <w:t xml:space="preserve"> that </w:t>
      </w:r>
      <w:r>
        <w:t>note #8 was paid off on July 27, 2011</w:t>
      </w:r>
      <w:r>
        <w:t>, and note #</w:t>
      </w:r>
      <w:r>
        <w:t xml:space="preserve">9 was paid off on July 6, 2012.  </w:t>
      </w:r>
      <w:r>
        <w:t xml:space="preserve">The stipulated facts established that after July 27, 2011, interest payments on note #8 totaled </w:t>
      </w:r>
      <w:r>
        <w:t>$122,</w:t>
      </w:r>
      <w:r>
        <w:t>933.31</w:t>
      </w:r>
      <w:r>
        <w:t>, and that a</w:t>
      </w:r>
      <w:r>
        <w:t>fter July 6, 2012, interest p</w:t>
      </w:r>
      <w:r>
        <w:t xml:space="preserve">ayments on note #9 totaled </w:t>
      </w:r>
      <w:r>
        <w:t>$</w:t>
      </w:r>
      <w:r>
        <w:t>104,302.52</w:t>
      </w:r>
      <w:r>
        <w:t xml:space="preserve">. </w:t>
      </w:r>
      <w:r>
        <w:t xml:space="preserve"> All of these payments were made within two years of the </w:t>
      </w:r>
      <w:r>
        <w:t xml:space="preserve">April 2013 </w:t>
      </w:r>
      <w:r>
        <w:t xml:space="preserve">filing </w:t>
      </w:r>
      <w:r>
        <w:t xml:space="preserve">date </w:t>
      </w:r>
      <w:r>
        <w:t xml:space="preserve">of Hardwick’s original complaint.  Accordingly, Hardwick requested reimbursement </w:t>
      </w:r>
      <w:r>
        <w:t>of $227</w:t>
      </w:r>
      <w:r>
        <w:t>,235.83 (plus interest).</w:t>
      </w:r>
    </w:p>
    <w:p w:rsidR="00E24B07" w:rsidRDefault="00497339" w:rsidP="0095690E">
      <w:pPr>
        <w:spacing w:line="360" w:lineRule="auto"/>
      </w:pPr>
      <w:r>
        <w:tab/>
        <w:t xml:space="preserve">Thus, </w:t>
      </w:r>
      <w:r>
        <w:t xml:space="preserve">the </w:t>
      </w:r>
      <w:r>
        <w:t>appellate re</w:t>
      </w:r>
      <w:r>
        <w:t xml:space="preserve">cord affirmatively demonstrates that the </w:t>
      </w:r>
      <w:r>
        <w:t xml:space="preserve">monetary award Hardwick received on his first cause of action </w:t>
      </w:r>
      <w:r>
        <w:t>reimbursed him for payments he</w:t>
      </w:r>
      <w:r>
        <w:t xml:space="preserve"> made after </w:t>
      </w:r>
      <w:r>
        <w:t>the pay-off dates for the respective notes</w:t>
      </w:r>
      <w:r>
        <w:t xml:space="preserve"> </w:t>
      </w:r>
      <w:r w:rsidRPr="00EE78EB">
        <w:rPr>
          <w:i/>
        </w:rPr>
        <w:t>and</w:t>
      </w:r>
      <w:r>
        <w:t xml:space="preserve"> within the two-</w:t>
      </w:r>
      <w:r>
        <w:t>year limitations period.</w:t>
      </w:r>
      <w:r>
        <w:t xml:space="preserve">  Wilcox does not argue o</w:t>
      </w:r>
      <w:r>
        <w:t>therwise or even address this monetary pa</w:t>
      </w:r>
      <w:r>
        <w:t>yment.</w:t>
      </w:r>
    </w:p>
    <w:p w:rsidR="00E24B07" w:rsidRDefault="00497339" w:rsidP="00E24B07">
      <w:pPr>
        <w:spacing w:line="360" w:lineRule="auto"/>
      </w:pPr>
      <w:r>
        <w:tab/>
      </w:r>
      <w:r>
        <w:t xml:space="preserve">Wilcox does contend, however, that the entire judgment is flawed because </w:t>
      </w:r>
      <w:r>
        <w:t xml:space="preserve">the </w:t>
      </w:r>
      <w:r>
        <w:t xml:space="preserve">series of notes </w:t>
      </w:r>
      <w:r>
        <w:t xml:space="preserve">at issue in this case </w:t>
      </w:r>
      <w:r>
        <w:t>were not renewals as a matter of law</w:t>
      </w:r>
      <w:r>
        <w:t xml:space="preserve">.  </w:t>
      </w:r>
      <w:r>
        <w:t>We disagree.</w:t>
      </w:r>
    </w:p>
    <w:p w:rsidR="00606A62" w:rsidRDefault="00497339" w:rsidP="00C27FC0">
      <w:pPr>
        <w:spacing w:line="360" w:lineRule="auto"/>
      </w:pPr>
      <w:r>
        <w:tab/>
        <w:t>“</w:t>
      </w:r>
      <w:r>
        <w:t> </w:t>
      </w:r>
      <w:r>
        <w:t>‘</w:t>
      </w:r>
      <w:r>
        <w:t> </w:t>
      </w:r>
      <w:r>
        <w:t xml:space="preserve">“If a transaction is usurious in </w:t>
      </w:r>
      <w:r>
        <w:t>its inception, it remains usurious until purged by a new cont</w:t>
      </w:r>
      <w:r>
        <w:t>r</w:t>
      </w:r>
      <w:r>
        <w:t>act; and all future transactions connected with or growing out of the original are usurious and without valid consideration.  An original taint of usury attaches to the whole family of consecuti</w:t>
      </w:r>
      <w:r>
        <w:t>ve obligations and securities growing out of the original vicious transaction; and none of the descendant obligations, however remote, can be free of the taint if the descent can be fairly traced.”</w:t>
      </w:r>
      <w:r>
        <w:t> </w:t>
      </w:r>
      <w:r>
        <w:t>’</w:t>
      </w:r>
      <w:r>
        <w:t xml:space="preserve"> </w:t>
      </w:r>
      <w:r>
        <w:t xml:space="preserve"> [Citation.]”  (</w:t>
      </w:r>
      <w:r w:rsidRPr="00C27FC0">
        <w:rPr>
          <w:i/>
        </w:rPr>
        <w:t>Whittemore Homes, Inc. v. Fleishman</w:t>
      </w:r>
      <w:r>
        <w:t xml:space="preserve"> (196</w:t>
      </w:r>
      <w:r>
        <w:t>1) 190 Cal.App.2d 554, 560</w:t>
      </w:r>
      <w:r>
        <w:t xml:space="preserve">, quoting </w:t>
      </w:r>
      <w:r w:rsidRPr="00C5229C">
        <w:rPr>
          <w:i/>
        </w:rPr>
        <w:t>We</w:t>
      </w:r>
      <w:r>
        <w:rPr>
          <w:i/>
        </w:rPr>
        <w:t>stman</w:t>
      </w:r>
      <w:r w:rsidRPr="00A41D3B">
        <w:t xml:space="preserve">, </w:t>
      </w:r>
      <w:r>
        <w:rPr>
          <w:i/>
        </w:rPr>
        <w:t>supra</w:t>
      </w:r>
      <w:r w:rsidRPr="00A41D3B">
        <w:t xml:space="preserve">, </w:t>
      </w:r>
      <w:r>
        <w:t>214 Cal.</w:t>
      </w:r>
      <w:r>
        <w:t xml:space="preserve"> at p.</w:t>
      </w:r>
      <w:r>
        <w:t> </w:t>
      </w:r>
      <w:r>
        <w:t xml:space="preserve">38; see also </w:t>
      </w:r>
      <w:r w:rsidRPr="00C5229C">
        <w:rPr>
          <w:i/>
        </w:rPr>
        <w:t>Williams v. Reed</w:t>
      </w:r>
      <w:r>
        <w:t xml:space="preserve"> (1957) 48 Cal.2d 57, 68.)  </w:t>
      </w:r>
      <w:r>
        <w:t xml:space="preserve">In the present case, the taint of usury is easily traced from the </w:t>
      </w:r>
      <w:r>
        <w:t>original</w:t>
      </w:r>
      <w:r>
        <w:t xml:space="preserve"> notes</w:t>
      </w:r>
      <w:r>
        <w:t xml:space="preserve"> through every subsequent note and amendment into note #8 and note #9.  </w:t>
      </w:r>
      <w:r>
        <w:t>As discussed, the payments Hardwick made over the course of the lending relationship were all usurious interest payments; none of the payments was used to pay down any principal.  Inst</w:t>
      </w:r>
      <w:r>
        <w:t>ead, the principal loans were simply rolled over along with unpaid interest and late fees into the subsequent notes.</w:t>
      </w:r>
    </w:p>
    <w:p w:rsidR="00E24B07" w:rsidRDefault="00497339" w:rsidP="00E24B07">
      <w:pPr>
        <w:spacing w:line="360" w:lineRule="auto"/>
      </w:pPr>
      <w:r>
        <w:tab/>
        <w:t xml:space="preserve">Wilcox argues </w:t>
      </w:r>
      <w:r>
        <w:t>a renewal means</w:t>
      </w:r>
      <w:r>
        <w:t>—</w:t>
      </w:r>
      <w:r>
        <w:t>and only means</w:t>
      </w:r>
      <w:r>
        <w:t>—</w:t>
      </w:r>
      <w:r>
        <w:t>an extension of a note’s maturity date</w:t>
      </w:r>
      <w:r>
        <w:t>, and, in this case,</w:t>
      </w:r>
      <w:r>
        <w:t xml:space="preserve"> notes #</w:t>
      </w:r>
      <w:r>
        <w:t>1 thr</w:t>
      </w:r>
      <w:r>
        <w:t>ough #7 were not renew</w:t>
      </w:r>
      <w:r>
        <w:t>als because the parties stipulated they were separate notes that were essentially paid off and extinguished</w:t>
      </w:r>
      <w:r>
        <w:t>.</w:t>
      </w:r>
    </w:p>
    <w:p w:rsidR="00E545E6" w:rsidRDefault="00497339" w:rsidP="0095690E">
      <w:pPr>
        <w:spacing w:line="360" w:lineRule="auto"/>
      </w:pPr>
      <w:r>
        <w:tab/>
        <w:t xml:space="preserve">Wilcox’s </w:t>
      </w:r>
      <w:r>
        <w:t xml:space="preserve">narrow </w:t>
      </w:r>
      <w:r>
        <w:t>definition of a loan renewal</w:t>
      </w:r>
      <w:r>
        <w:t xml:space="preserve"> </w:t>
      </w:r>
      <w:r>
        <w:t xml:space="preserve">is inconsistent with </w:t>
      </w:r>
      <w:r>
        <w:t xml:space="preserve">the </w:t>
      </w:r>
      <w:r>
        <w:t>governing law</w:t>
      </w:r>
      <w:r>
        <w:t xml:space="preserve"> discussed above and </w:t>
      </w:r>
      <w:r>
        <w:t xml:space="preserve">correctly </w:t>
      </w:r>
      <w:r>
        <w:t>applied by the trial court.</w:t>
      </w:r>
      <w:r>
        <w:t xml:space="preserve">  </w:t>
      </w:r>
      <w:r>
        <w:t>Wil</w:t>
      </w:r>
      <w:r>
        <w:t>cox spends considerable time discussing</w:t>
      </w:r>
      <w:r>
        <w:t xml:space="preserve"> three cases in which </w:t>
      </w:r>
      <w:r>
        <w:t>an extension of the maturity</w:t>
      </w:r>
      <w:r>
        <w:t xml:space="preserve"> date </w:t>
      </w:r>
      <w:r>
        <w:t xml:space="preserve">of a </w:t>
      </w:r>
      <w:r>
        <w:t>usurious</w:t>
      </w:r>
      <w:r>
        <w:t xml:space="preserve"> loan</w:t>
      </w:r>
      <w:r>
        <w:t xml:space="preserve"> was characterized as a renewal. </w:t>
      </w:r>
      <w:r>
        <w:t xml:space="preserve"> </w:t>
      </w:r>
      <w:r>
        <w:t xml:space="preserve">(See </w:t>
      </w:r>
      <w:r>
        <w:rPr>
          <w:i/>
        </w:rPr>
        <w:t>Westman</w:t>
      </w:r>
      <w:r w:rsidRPr="00A41D3B">
        <w:t xml:space="preserve">, </w:t>
      </w:r>
      <w:r>
        <w:rPr>
          <w:i/>
        </w:rPr>
        <w:t>supra</w:t>
      </w:r>
      <w:r w:rsidRPr="00A41D3B">
        <w:t xml:space="preserve">, </w:t>
      </w:r>
      <w:r>
        <w:t xml:space="preserve">214 Cal.2d 28; </w:t>
      </w:r>
      <w:r w:rsidRPr="00300855">
        <w:rPr>
          <w:i/>
        </w:rPr>
        <w:t>Aspeitia v. California Trust Co</w:t>
      </w:r>
      <w:r>
        <w:rPr>
          <w:i/>
        </w:rPr>
        <w:t>.</w:t>
      </w:r>
      <w:r>
        <w:t xml:space="preserve"> (1958) 158 Cal.App.2d 150; </w:t>
      </w:r>
      <w:r w:rsidRPr="00300855">
        <w:rPr>
          <w:i/>
        </w:rPr>
        <w:t>Simmons v. Pa</w:t>
      </w:r>
      <w:r w:rsidRPr="00300855">
        <w:rPr>
          <w:i/>
        </w:rPr>
        <w:t>trick</w:t>
      </w:r>
      <w:r>
        <w:t xml:space="preserve"> (1962) 211 Cal.App.2d 383.)  </w:t>
      </w:r>
      <w:r>
        <w:t>However</w:t>
      </w:r>
      <w:r>
        <w:t>,</w:t>
      </w:r>
      <w:r>
        <w:t xml:space="preserve"> these cases do not help Wilcox because they do not </w:t>
      </w:r>
      <w:r>
        <w:t>adopt</w:t>
      </w:r>
      <w:r>
        <w:t xml:space="preserve"> </w:t>
      </w:r>
      <w:r>
        <w:t xml:space="preserve">his </w:t>
      </w:r>
      <w:r>
        <w:t>narrow definition of a renewal</w:t>
      </w:r>
      <w:r>
        <w:t>, or even address</w:t>
      </w:r>
      <w:r>
        <w:t xml:space="preserve"> that issue.</w:t>
      </w:r>
    </w:p>
    <w:p w:rsidR="00D5289C" w:rsidRDefault="00497339" w:rsidP="0095690E">
      <w:pPr>
        <w:spacing w:line="360" w:lineRule="auto"/>
      </w:pPr>
      <w:r>
        <w:tab/>
      </w:r>
      <w:r>
        <w:t xml:space="preserve">Furthermore, </w:t>
      </w:r>
      <w:r>
        <w:t xml:space="preserve">Wilcox’s </w:t>
      </w:r>
      <w:r>
        <w:t xml:space="preserve">account of the </w:t>
      </w:r>
      <w:r>
        <w:t>stipulated facts</w:t>
      </w:r>
      <w:r>
        <w:t xml:space="preserve"> is misleading and incomplete. </w:t>
      </w:r>
      <w:r>
        <w:t xml:space="preserve"> </w:t>
      </w:r>
      <w:r>
        <w:t>E</w:t>
      </w:r>
      <w:r>
        <w:t xml:space="preserve">very note and amendment </w:t>
      </w:r>
      <w:r>
        <w:t xml:space="preserve">in the series of notes comprising the two usurious transactions </w:t>
      </w:r>
      <w:r>
        <w:t>pertained to a</w:t>
      </w:r>
      <w:r>
        <w:t xml:space="preserve"> principal debt that was </w:t>
      </w:r>
      <w:r>
        <w:t xml:space="preserve">not </w:t>
      </w:r>
      <w:r>
        <w:t>repaid</w:t>
      </w:r>
      <w:r>
        <w:t xml:space="preserve"> (except by operation of the offset rules)</w:t>
      </w:r>
      <w:r>
        <w:t xml:space="preserve">.  Notes may have been canceled but the underlying </w:t>
      </w:r>
      <w:r>
        <w:t>loan</w:t>
      </w:r>
      <w:r>
        <w:t>s</w:t>
      </w:r>
      <w:r>
        <w:t xml:space="preserve"> w</w:t>
      </w:r>
      <w:r>
        <w:t>ere</w:t>
      </w:r>
      <w:r>
        <w:t xml:space="preserve"> rolled over and</w:t>
      </w:r>
      <w:r>
        <w:t xml:space="preserve"> subsumed by a subsequent note </w:t>
      </w:r>
      <w:r>
        <w:t xml:space="preserve">or amendment, and the due dates for payment </w:t>
      </w:r>
      <w:r>
        <w:t xml:space="preserve">of principal </w:t>
      </w:r>
      <w:r>
        <w:t xml:space="preserve">were </w:t>
      </w:r>
      <w:r>
        <w:t>all</w:t>
      </w:r>
      <w:r>
        <w:t xml:space="preserve"> extended until</w:t>
      </w:r>
      <w:r>
        <w:t>,</w:t>
      </w:r>
      <w:r>
        <w:t xml:space="preserve"> eventually, all of the loans were consolidated into either note #8 or note #9.  Furthermore, every version of every note charged usurious inter</w:t>
      </w:r>
      <w:r>
        <w:t xml:space="preserve">est. </w:t>
      </w:r>
      <w:r>
        <w:t xml:space="preserve"> Under these circumstances, the original taint of usury attached to “the whole family of consecutive obligations and securities growing out of the original vicious transaction[s].”  (</w:t>
      </w:r>
      <w:r w:rsidRPr="00C27FC0">
        <w:rPr>
          <w:i/>
        </w:rPr>
        <w:t>Whittemore Homes, Inc. v. Fleishman</w:t>
      </w:r>
      <w:r>
        <w:t xml:space="preserve">, </w:t>
      </w:r>
      <w:r w:rsidRPr="00F04EB3">
        <w:rPr>
          <w:i/>
        </w:rPr>
        <w:t>supra,</w:t>
      </w:r>
      <w:r>
        <w:t xml:space="preserve"> 190 Cal.App.2d at p.</w:t>
      </w:r>
      <w:r>
        <w:t> </w:t>
      </w:r>
      <w:r>
        <w:t>560</w:t>
      </w:r>
      <w:r>
        <w:t>.)</w:t>
      </w:r>
    </w:p>
    <w:p w:rsidR="00913F86" w:rsidRPr="00913F86" w:rsidRDefault="00497339" w:rsidP="00A41D3B">
      <w:pPr>
        <w:keepNext/>
        <w:spacing w:line="360" w:lineRule="auto"/>
        <w:jc w:val="center"/>
        <w:rPr>
          <w:b/>
        </w:rPr>
      </w:pPr>
      <w:r w:rsidRPr="00913F86">
        <w:rPr>
          <w:b/>
        </w:rPr>
        <w:t>V.  DISPOSITION</w:t>
      </w:r>
    </w:p>
    <w:p w:rsidR="00913F86" w:rsidRDefault="00497339" w:rsidP="0095690E">
      <w:pPr>
        <w:spacing w:line="360" w:lineRule="auto"/>
      </w:pPr>
      <w:r>
        <w:tab/>
        <w:t>The judgment is affirmed.  Hardwick is awarded costs on appeal.</w:t>
      </w:r>
    </w:p>
    <w:p w:rsidR="00A41D3B" w:rsidRDefault="00497339">
      <w:pPr>
        <w:tabs>
          <w:tab w:val="clear" w:pos="720"/>
        </w:tabs>
        <w:spacing w:after="160" w:line="259" w:lineRule="auto"/>
      </w:pPr>
      <w:r>
        <w:br w:type="page"/>
      </w: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r>
        <w:tab/>
      </w:r>
      <w:r>
        <w:tab/>
      </w:r>
      <w:r>
        <w:tab/>
      </w:r>
      <w:r>
        <w:tab/>
      </w:r>
      <w:r>
        <w:tab/>
      </w:r>
      <w:r>
        <w:tab/>
      </w:r>
      <w:r>
        <w:tab/>
        <w:t>_________________________</w:t>
      </w:r>
    </w:p>
    <w:p w:rsidR="00A41D3B" w:rsidRDefault="00497339" w:rsidP="00A41D3B">
      <w:pPr>
        <w:spacing w:line="240" w:lineRule="auto"/>
      </w:pPr>
      <w:r>
        <w:tab/>
      </w:r>
      <w:r>
        <w:tab/>
      </w:r>
      <w:r>
        <w:tab/>
      </w:r>
      <w:r>
        <w:tab/>
      </w:r>
      <w:r>
        <w:tab/>
      </w:r>
      <w:r>
        <w:tab/>
      </w:r>
      <w:r>
        <w:tab/>
        <w:t>RUVOLO, P. J.</w:t>
      </w: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r>
        <w:t>We concur:</w:t>
      </w: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r>
        <w:t>_________________________</w:t>
      </w:r>
    </w:p>
    <w:p w:rsidR="00A41D3B" w:rsidRDefault="00497339" w:rsidP="00A41D3B">
      <w:pPr>
        <w:spacing w:line="240" w:lineRule="auto"/>
      </w:pPr>
      <w:r>
        <w:t>RIVERA, J.</w:t>
      </w: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r>
        <w:t>_________________________</w:t>
      </w:r>
    </w:p>
    <w:p w:rsidR="00A41D3B" w:rsidRDefault="00497339" w:rsidP="00A41D3B">
      <w:pPr>
        <w:spacing w:line="240" w:lineRule="auto"/>
      </w:pPr>
      <w:r>
        <w:t>STREETER, J.</w:t>
      </w: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A41D3B" w:rsidRDefault="00497339" w:rsidP="00A41D3B">
      <w:pPr>
        <w:spacing w:line="240" w:lineRule="auto"/>
      </w:pPr>
    </w:p>
    <w:p w:rsidR="00EB5BB9" w:rsidRDefault="00497339" w:rsidP="00A41D3B">
      <w:pPr>
        <w:spacing w:line="240" w:lineRule="auto"/>
        <w:rPr>
          <w:i/>
        </w:rPr>
      </w:pPr>
      <w:r>
        <w:t xml:space="preserve">A147944, </w:t>
      </w:r>
      <w:r w:rsidRPr="00A41D3B">
        <w:rPr>
          <w:i/>
        </w:rPr>
        <w:t>Hardwick v. Wilcox</w:t>
      </w:r>
    </w:p>
    <w:p w:rsidR="00EB5BB9" w:rsidRDefault="00497339" w:rsidP="00EB5BB9">
      <w:pPr>
        <w:tabs>
          <w:tab w:val="clear" w:pos="720"/>
        </w:tabs>
        <w:spacing w:line="240" w:lineRule="auto"/>
      </w:pPr>
      <w:r>
        <w:rPr>
          <w:i/>
        </w:rPr>
        <w:br w:type="page"/>
      </w:r>
      <w:r>
        <w:t>Trial Court:</w:t>
      </w:r>
      <w:r>
        <w:tab/>
      </w:r>
      <w:r>
        <w:tab/>
      </w:r>
      <w:r>
        <w:tab/>
      </w:r>
      <w:r>
        <w:tab/>
      </w:r>
      <w:r>
        <w:tab/>
        <w:t>Alameda County Superior Court</w:t>
      </w:r>
    </w:p>
    <w:p w:rsidR="00EB5BB9" w:rsidRDefault="00497339" w:rsidP="00EB5BB9">
      <w:pPr>
        <w:tabs>
          <w:tab w:val="clear" w:pos="720"/>
        </w:tabs>
        <w:spacing w:line="240" w:lineRule="auto"/>
      </w:pPr>
    </w:p>
    <w:p w:rsidR="00EB5BB9" w:rsidRDefault="00497339" w:rsidP="00EB5BB9">
      <w:pPr>
        <w:tabs>
          <w:tab w:val="clear" w:pos="720"/>
        </w:tabs>
        <w:spacing w:line="240" w:lineRule="auto"/>
      </w:pPr>
      <w:r>
        <w:t>Trial Judge:</w:t>
      </w:r>
      <w:r>
        <w:tab/>
      </w:r>
      <w:r>
        <w:tab/>
      </w:r>
      <w:r>
        <w:tab/>
      </w:r>
      <w:r>
        <w:tab/>
      </w:r>
      <w:r>
        <w:tab/>
        <w:t>Hon. Ioana Petrou</w:t>
      </w:r>
    </w:p>
    <w:p w:rsidR="00EB5BB9" w:rsidRDefault="00497339" w:rsidP="00EB5BB9">
      <w:pPr>
        <w:tabs>
          <w:tab w:val="clear" w:pos="720"/>
        </w:tabs>
        <w:spacing w:line="240" w:lineRule="auto"/>
      </w:pPr>
    </w:p>
    <w:p w:rsidR="00EB5BB9" w:rsidRDefault="00497339" w:rsidP="00EB5BB9">
      <w:pPr>
        <w:tabs>
          <w:tab w:val="clear" w:pos="720"/>
        </w:tabs>
        <w:spacing w:line="240" w:lineRule="auto"/>
      </w:pPr>
      <w:r>
        <w:t>Counsel for Appellant:</w:t>
      </w:r>
      <w:r>
        <w:tab/>
      </w:r>
      <w:r>
        <w:tab/>
      </w:r>
      <w:r>
        <w:tab/>
        <w:t>Berokim &amp; Duel, Kousha Berokim</w:t>
      </w:r>
    </w:p>
    <w:p w:rsidR="00EB5BB9" w:rsidRDefault="00497339" w:rsidP="00EB5BB9">
      <w:pPr>
        <w:tabs>
          <w:tab w:val="clear" w:pos="720"/>
        </w:tabs>
        <w:spacing w:line="240" w:lineRule="auto"/>
      </w:pPr>
    </w:p>
    <w:p w:rsidR="00EB5BB9" w:rsidRDefault="00497339" w:rsidP="00EB5BB9">
      <w:pPr>
        <w:tabs>
          <w:tab w:val="clear" w:pos="720"/>
        </w:tabs>
        <w:spacing w:line="240" w:lineRule="auto"/>
      </w:pPr>
      <w:r>
        <w:t>Counsel for Respondent:</w:t>
      </w:r>
      <w:r>
        <w:tab/>
      </w:r>
      <w:r>
        <w:tab/>
      </w:r>
      <w:r>
        <w:tab/>
        <w:t>Law Office of Richard van’t Rood,</w:t>
      </w:r>
    </w:p>
    <w:p w:rsidR="00EB5BB9" w:rsidRDefault="00497339" w:rsidP="00EB5BB9">
      <w:pPr>
        <w:tabs>
          <w:tab w:val="clear" w:pos="720"/>
        </w:tabs>
        <w:spacing w:line="240" w:lineRule="auto"/>
      </w:pPr>
      <w:r>
        <w:tab/>
      </w:r>
      <w:r>
        <w:tab/>
      </w:r>
      <w:r>
        <w:tab/>
      </w:r>
      <w:r>
        <w:tab/>
      </w:r>
      <w:r>
        <w:tab/>
      </w:r>
      <w:r>
        <w:tab/>
        <w:t xml:space="preserve">Richard van’t </w:t>
      </w:r>
      <w:r>
        <w:t>Rood</w:t>
      </w:r>
    </w:p>
    <w:p w:rsidR="00EB5BB9" w:rsidRDefault="00497339" w:rsidP="00EB5BB9">
      <w:pPr>
        <w:tabs>
          <w:tab w:val="clear" w:pos="720"/>
        </w:tabs>
        <w:spacing w:line="240" w:lineRule="auto"/>
      </w:pPr>
    </w:p>
    <w:p w:rsidR="00EB5BB9" w:rsidRDefault="00497339" w:rsidP="00EB5BB9">
      <w:pPr>
        <w:tabs>
          <w:tab w:val="clear" w:pos="720"/>
        </w:tabs>
        <w:spacing w:line="240" w:lineRule="auto"/>
      </w:pPr>
      <w:r>
        <w:tab/>
      </w:r>
      <w:r>
        <w:tab/>
      </w:r>
      <w:r>
        <w:tab/>
      </w:r>
      <w:r>
        <w:tab/>
      </w:r>
      <w:r>
        <w:tab/>
      </w:r>
      <w:r>
        <w:tab/>
        <w:t>Craig J. Bassett</w:t>
      </w: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p>
    <w:p w:rsidR="00EB5BB9" w:rsidRDefault="00497339" w:rsidP="00EB5BB9">
      <w:pPr>
        <w:tabs>
          <w:tab w:val="clear" w:pos="720"/>
        </w:tabs>
        <w:spacing w:line="240" w:lineRule="auto"/>
      </w:pPr>
      <w:r>
        <w:t xml:space="preserve">A147944, </w:t>
      </w:r>
      <w:r w:rsidRPr="00A41D3B">
        <w:rPr>
          <w:i/>
        </w:rPr>
        <w:t>Hardwick v. Wilcox</w:t>
      </w:r>
    </w:p>
    <w:sectPr w:rsidR="00EB5BB9" w:rsidSect="00EB320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7339">
      <w:pPr>
        <w:spacing w:line="240" w:lineRule="auto"/>
      </w:pPr>
      <w:r>
        <w:separator/>
      </w:r>
    </w:p>
  </w:endnote>
  <w:endnote w:type="continuationSeparator" w:id="0">
    <w:p w:rsidR="00000000" w:rsidRDefault="00497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9C" w:rsidRDefault="00497339" w:rsidP="007428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BF099C" w:rsidRDefault="00497339" w:rsidP="007428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BF099C" w:rsidRDefault="00497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9C" w:rsidRDefault="00497339" w:rsidP="00EB32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F099C" w:rsidRDefault="00497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28" w:rsidRDefault="00497339" w:rsidP="00EB3202">
      <w:pPr>
        <w:spacing w:line="240" w:lineRule="auto"/>
      </w:pPr>
      <w:r>
        <w:separator/>
      </w:r>
    </w:p>
  </w:footnote>
  <w:footnote w:type="continuationSeparator" w:id="0">
    <w:p w:rsidR="00D96F28" w:rsidRDefault="00497339" w:rsidP="00EB3202">
      <w:pPr>
        <w:spacing w:line="240" w:lineRule="auto"/>
      </w:pPr>
      <w:r>
        <w:continuationSeparator/>
      </w:r>
    </w:p>
  </w:footnote>
  <w:footnote w:id="1">
    <w:p w:rsidR="00BF099C" w:rsidRDefault="00497339" w:rsidP="006F1813">
      <w:pPr>
        <w:pStyle w:val="FootnoteText"/>
        <w:keepLines/>
        <w:spacing w:after="120"/>
      </w:pPr>
      <w:r>
        <w:tab/>
      </w:r>
      <w:r w:rsidRPr="006F1813">
        <w:rPr>
          <w:rStyle w:val="FootnoteReference"/>
          <w:b/>
        </w:rPr>
        <w:footnoteRef/>
      </w:r>
      <w:r>
        <w:t xml:space="preserve">  The reference to </w:t>
      </w:r>
      <w:r>
        <w:t xml:space="preserve">“CCP” </w:t>
      </w:r>
      <w:r>
        <w:t xml:space="preserve">section 1542 </w:t>
      </w:r>
      <w:r>
        <w:t>was an error</w:t>
      </w:r>
      <w:r>
        <w:t>,</w:t>
      </w:r>
      <w:r>
        <w:t xml:space="preserve"> as that statute is a provision of the Unclaimed Property Law.</w:t>
      </w:r>
      <w:r>
        <w:t xml:space="preserve"> </w:t>
      </w:r>
      <w:r>
        <w:t xml:space="preserve"> </w:t>
      </w:r>
      <w:r>
        <w:t xml:space="preserve">The </w:t>
      </w:r>
      <w:r>
        <w:t xml:space="preserve">release language </w:t>
      </w:r>
      <w:r>
        <w:t>intermixed the singular and plural when referring</w:t>
      </w:r>
      <w:r>
        <w:t xml:space="preserve"> to the borrower and the note.</w:t>
      </w:r>
    </w:p>
  </w:footnote>
  <w:footnote w:id="2">
    <w:p w:rsidR="00163A86" w:rsidRDefault="00497339" w:rsidP="006F1813">
      <w:pPr>
        <w:pStyle w:val="FootnoteText"/>
        <w:keepLines/>
        <w:spacing w:after="120"/>
      </w:pPr>
      <w:r>
        <w:tab/>
      </w:r>
      <w:r w:rsidRPr="00685D52">
        <w:rPr>
          <w:rStyle w:val="FootnoteReference"/>
          <w:b/>
        </w:rPr>
        <w:footnoteRef/>
      </w:r>
      <w:r>
        <w:t xml:space="preserve">  </w:t>
      </w:r>
      <w:r w:rsidRPr="00163A86">
        <w:t>This stipulation, which established the reference system for distinguishing between the</w:t>
      </w:r>
      <w:r w:rsidRPr="00163A86">
        <w:t xml:space="preserve"> multiple promissory notes and amendments, is the source of </w:t>
      </w:r>
      <w:r>
        <w:t xml:space="preserve">the </w:t>
      </w:r>
      <w:r w:rsidRPr="00163A86">
        <w:t>background informat</w:t>
      </w:r>
      <w:r>
        <w:t>ion in our Statement of Facts.</w:t>
      </w:r>
    </w:p>
  </w:footnote>
  <w:footnote w:id="3">
    <w:p w:rsidR="008859BE" w:rsidRPr="00A41D3B" w:rsidRDefault="00497339" w:rsidP="006F1813">
      <w:pPr>
        <w:keepLines/>
        <w:tabs>
          <w:tab w:val="clear" w:pos="720"/>
        </w:tabs>
        <w:spacing w:after="120" w:line="240" w:lineRule="auto"/>
        <w:rPr>
          <w:rFonts w:eastAsia="Times New Roman"/>
        </w:rPr>
      </w:pPr>
      <w:r>
        <w:tab/>
      </w:r>
      <w:r w:rsidRPr="00A41D3B">
        <w:rPr>
          <w:rStyle w:val="FootnoteReference"/>
          <w:b/>
        </w:rPr>
        <w:footnoteRef/>
      </w:r>
      <w:r>
        <w:t xml:space="preserve"> </w:t>
      </w:r>
      <w:r>
        <w:t xml:space="preserve"> </w:t>
      </w:r>
      <w:r w:rsidRPr="00A41D3B">
        <w:t>“</w:t>
      </w:r>
      <w:r w:rsidRPr="00A41D3B">
        <w:rPr>
          <w:rFonts w:eastAsia="Times New Roman"/>
        </w:rPr>
        <w:t>When usurious interest has been exacted the debtor is entitled to recover treble the interest paid if he sues within one year (Deering</w:t>
      </w:r>
      <w:r>
        <w:rPr>
          <w:rFonts w:eastAsia="Times New Roman"/>
        </w:rPr>
        <w:t>’</w:t>
      </w:r>
      <w:r w:rsidRPr="00A41D3B">
        <w:rPr>
          <w:rFonts w:eastAsia="Times New Roman"/>
        </w:rPr>
        <w:t xml:space="preserve">s </w:t>
      </w:r>
      <w:r w:rsidRPr="00A41D3B">
        <w:rPr>
          <w:rFonts w:eastAsia="Times New Roman"/>
        </w:rPr>
        <w:t>Gen. Laws (1918) Act 3757, §</w:t>
      </w:r>
      <w:r>
        <w:rPr>
          <w:rFonts w:eastAsia="Times New Roman"/>
        </w:rPr>
        <w:t> </w:t>
      </w:r>
      <w:r w:rsidRPr="00A41D3B">
        <w:rPr>
          <w:rFonts w:eastAsia="Times New Roman"/>
        </w:rPr>
        <w:t xml:space="preserve">3; Stats. 1919, p. lxxxiii) or the bare amount of all interest paid if suit is brought within two years </w:t>
      </w:r>
      <w:r w:rsidRPr="00A41D3B">
        <w:rPr>
          <w:rFonts w:eastAsia="Times New Roman"/>
        </w:rPr>
        <w:t>[].  [Citation.].”</w:t>
      </w:r>
      <w:r>
        <w:rPr>
          <w:rFonts w:eastAsia="Times New Roman"/>
        </w:rPr>
        <w:t xml:space="preserve"> </w:t>
      </w:r>
      <w:r w:rsidRPr="00A41D3B">
        <w:rPr>
          <w:rFonts w:eastAsia="Times New Roman"/>
        </w:rPr>
        <w:t xml:space="preserve"> (</w:t>
      </w:r>
      <w:r w:rsidRPr="00A41D3B">
        <w:rPr>
          <w:rFonts w:eastAsia="Times New Roman"/>
          <w:i/>
          <w:iCs/>
        </w:rPr>
        <w:t>Baruch Inv. Co. v. Huntoon</w:t>
      </w:r>
      <w:r w:rsidRPr="00A41D3B">
        <w:rPr>
          <w:rFonts w:eastAsia="Times New Roman"/>
        </w:rPr>
        <w:t xml:space="preserve"> (1967) 257 Cal.App.2d 485, 490.)  Hardwick was not awarded treble damages i</w:t>
      </w:r>
      <w:r w:rsidRPr="00A41D3B">
        <w:rPr>
          <w:rFonts w:eastAsia="Times New Roman"/>
        </w:rPr>
        <w:t>n this case.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D1"/>
    <w:rsid w:val="000D27D1"/>
    <w:rsid w:val="00497339"/>
    <w:rsid w:val="006A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202"/>
    <w:pPr>
      <w:tabs>
        <w:tab w:val="center" w:pos="4680"/>
        <w:tab w:val="right" w:pos="9360"/>
      </w:tabs>
      <w:spacing w:line="240" w:lineRule="auto"/>
    </w:pPr>
  </w:style>
  <w:style w:type="character" w:customStyle="1" w:styleId="HeaderChar">
    <w:name w:val="Header Char"/>
    <w:basedOn w:val="DefaultParagraphFont"/>
    <w:link w:val="Header"/>
    <w:uiPriority w:val="99"/>
    <w:rsid w:val="00EB3202"/>
  </w:style>
  <w:style w:type="paragraph" w:styleId="Footer">
    <w:name w:val="footer"/>
    <w:basedOn w:val="Normal"/>
    <w:link w:val="FooterChar"/>
    <w:uiPriority w:val="99"/>
    <w:unhideWhenUsed/>
    <w:rsid w:val="00EB3202"/>
    <w:pPr>
      <w:tabs>
        <w:tab w:val="center" w:pos="4680"/>
        <w:tab w:val="right" w:pos="9360"/>
      </w:tabs>
      <w:spacing w:line="240" w:lineRule="auto"/>
    </w:pPr>
  </w:style>
  <w:style w:type="character" w:customStyle="1" w:styleId="FooterChar">
    <w:name w:val="Footer Char"/>
    <w:basedOn w:val="DefaultParagraphFont"/>
    <w:link w:val="Footer"/>
    <w:uiPriority w:val="99"/>
    <w:rsid w:val="00EB3202"/>
  </w:style>
  <w:style w:type="character" w:styleId="PageNumber">
    <w:name w:val="page number"/>
    <w:basedOn w:val="DefaultParagraphFont"/>
    <w:uiPriority w:val="99"/>
    <w:semiHidden/>
    <w:unhideWhenUsed/>
    <w:rsid w:val="00EB3202"/>
  </w:style>
  <w:style w:type="paragraph" w:styleId="FootnoteText">
    <w:name w:val="footnote text"/>
    <w:link w:val="FootnoteTextChar"/>
    <w:uiPriority w:val="99"/>
    <w:unhideWhenUsed/>
    <w:rsid w:val="00EB3202"/>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EB3202"/>
    <w:rPr>
      <w:rFonts w:cs="Times New Roman"/>
      <w:szCs w:val="20"/>
    </w:rPr>
  </w:style>
  <w:style w:type="paragraph" w:styleId="BalloonText">
    <w:name w:val="Balloon Text"/>
    <w:basedOn w:val="Normal"/>
    <w:link w:val="BalloonTextChar"/>
    <w:uiPriority w:val="99"/>
    <w:semiHidden/>
    <w:unhideWhenUsed/>
    <w:rsid w:val="00FB3E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E9D"/>
    <w:rPr>
      <w:rFonts w:ascii="Segoe UI" w:hAnsi="Segoe UI" w:cs="Segoe UI"/>
      <w:sz w:val="18"/>
      <w:szCs w:val="18"/>
    </w:rPr>
  </w:style>
  <w:style w:type="character" w:styleId="FootnoteReference">
    <w:name w:val="footnote reference"/>
    <w:basedOn w:val="DefaultParagraphFont"/>
    <w:uiPriority w:val="99"/>
    <w:semiHidden/>
    <w:unhideWhenUsed/>
    <w:rsid w:val="00237D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202"/>
    <w:pPr>
      <w:tabs>
        <w:tab w:val="center" w:pos="4680"/>
        <w:tab w:val="right" w:pos="9360"/>
      </w:tabs>
      <w:spacing w:line="240" w:lineRule="auto"/>
    </w:pPr>
  </w:style>
  <w:style w:type="character" w:customStyle="1" w:styleId="HeaderChar">
    <w:name w:val="Header Char"/>
    <w:basedOn w:val="DefaultParagraphFont"/>
    <w:link w:val="Header"/>
    <w:uiPriority w:val="99"/>
    <w:rsid w:val="00EB3202"/>
  </w:style>
  <w:style w:type="paragraph" w:styleId="Footer">
    <w:name w:val="footer"/>
    <w:basedOn w:val="Normal"/>
    <w:link w:val="FooterChar"/>
    <w:uiPriority w:val="99"/>
    <w:unhideWhenUsed/>
    <w:rsid w:val="00EB3202"/>
    <w:pPr>
      <w:tabs>
        <w:tab w:val="center" w:pos="4680"/>
        <w:tab w:val="right" w:pos="9360"/>
      </w:tabs>
      <w:spacing w:line="240" w:lineRule="auto"/>
    </w:pPr>
  </w:style>
  <w:style w:type="character" w:customStyle="1" w:styleId="FooterChar">
    <w:name w:val="Footer Char"/>
    <w:basedOn w:val="DefaultParagraphFont"/>
    <w:link w:val="Footer"/>
    <w:uiPriority w:val="99"/>
    <w:rsid w:val="00EB3202"/>
  </w:style>
  <w:style w:type="character" w:styleId="PageNumber">
    <w:name w:val="page number"/>
    <w:basedOn w:val="DefaultParagraphFont"/>
    <w:uiPriority w:val="99"/>
    <w:semiHidden/>
    <w:unhideWhenUsed/>
    <w:rsid w:val="00EB3202"/>
  </w:style>
  <w:style w:type="paragraph" w:styleId="FootnoteText">
    <w:name w:val="footnote text"/>
    <w:link w:val="FootnoteTextChar"/>
    <w:uiPriority w:val="99"/>
    <w:unhideWhenUsed/>
    <w:rsid w:val="00EB3202"/>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EB3202"/>
    <w:rPr>
      <w:rFonts w:cs="Times New Roman"/>
      <w:szCs w:val="20"/>
    </w:rPr>
  </w:style>
  <w:style w:type="paragraph" w:styleId="BalloonText">
    <w:name w:val="Balloon Text"/>
    <w:basedOn w:val="Normal"/>
    <w:link w:val="BalloonTextChar"/>
    <w:uiPriority w:val="99"/>
    <w:semiHidden/>
    <w:unhideWhenUsed/>
    <w:rsid w:val="00FB3E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E9D"/>
    <w:rPr>
      <w:rFonts w:ascii="Segoe UI" w:hAnsi="Segoe UI" w:cs="Segoe UI"/>
      <w:sz w:val="18"/>
      <w:szCs w:val="18"/>
    </w:rPr>
  </w:style>
  <w:style w:type="character" w:styleId="FootnoteReference">
    <w:name w:val="footnote reference"/>
    <w:basedOn w:val="DefaultParagraphFont"/>
    <w:uiPriority w:val="99"/>
    <w:semiHidden/>
    <w:unhideWhenUsed/>
    <w:rsid w:val="00237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7310</Words>
  <Characters>37015</Characters>
  <Application>Microsoft Office Word</Application>
  <DocSecurity>0</DocSecurity>
  <Lines>664</Lines>
  <Paragraphs>122</Paragraphs>
  <ScaleCrop>false</ScaleCrop>
  <Manager/>
  <Company/>
  <LinksUpToDate>false</LinksUpToDate>
  <CharactersWithSpaces>44560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2017-05-22T23:09:00Z</dcterms:created>
  <dcterms:modified xsi:type="dcterms:W3CDTF">2017-05-22T23:09:00Z</dcterms:modified>
  <cp:category/>
</cp:coreProperties>
</file>