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5" w:rsidRDefault="004757A5" w:rsidP="004757A5">
      <w:pPr>
        <w:autoSpaceDE w:val="0"/>
        <w:autoSpaceDN w:val="0"/>
        <w:adjustRightInd w:val="0"/>
        <w:jc w:val="center"/>
        <w:rPr>
          <w:b/>
          <w:bCs/>
          <w:color w:val="auto"/>
          <w:sz w:val="28"/>
          <w:szCs w:val="28"/>
        </w:rPr>
      </w:pPr>
      <w:r>
        <w:rPr>
          <w:b/>
          <w:bCs/>
          <w:color w:val="auto"/>
          <w:sz w:val="28"/>
          <w:szCs w:val="28"/>
        </w:rPr>
        <w:t>ADMINISTRATIVE OFFICE OF THE COURTS</w:t>
      </w:r>
    </w:p>
    <w:p w:rsidR="004757A5" w:rsidRDefault="004757A5" w:rsidP="004757A5">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r>
        <w:rPr>
          <w:b/>
          <w:bCs/>
          <w:color w:val="auto"/>
          <w:sz w:val="28"/>
          <w:szCs w:val="28"/>
        </w:rPr>
        <w:t>QUESTIONS AND ANSWERS</w:t>
      </w:r>
    </w:p>
    <w:p w:rsidR="004757A5" w:rsidRDefault="004757A5" w:rsidP="004757A5">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p>
    <w:p w:rsidR="00BC3BDD" w:rsidRPr="00BC3BDD" w:rsidRDefault="00BC3BDD" w:rsidP="00BC3BDD">
      <w:pPr>
        <w:autoSpaceDE w:val="0"/>
        <w:autoSpaceDN w:val="0"/>
        <w:adjustRightInd w:val="0"/>
        <w:jc w:val="center"/>
        <w:rPr>
          <w:b/>
          <w:bCs/>
          <w:color w:val="auto"/>
          <w:sz w:val="28"/>
          <w:szCs w:val="28"/>
        </w:rPr>
      </w:pPr>
      <w:r w:rsidRPr="00BC3BDD">
        <w:rPr>
          <w:b/>
          <w:bCs/>
          <w:color w:val="auto"/>
          <w:sz w:val="28"/>
          <w:szCs w:val="28"/>
        </w:rPr>
        <w:t xml:space="preserve">Sacramento Dependency Representation </w:t>
      </w:r>
    </w:p>
    <w:p w:rsidR="00BC3BDD" w:rsidRPr="00BC3BDD" w:rsidRDefault="00BC3BDD" w:rsidP="00BC3BDD">
      <w:pPr>
        <w:autoSpaceDE w:val="0"/>
        <w:autoSpaceDN w:val="0"/>
        <w:adjustRightInd w:val="0"/>
        <w:jc w:val="center"/>
        <w:rPr>
          <w:b/>
          <w:bCs/>
          <w:color w:val="auto"/>
          <w:sz w:val="28"/>
          <w:szCs w:val="28"/>
        </w:rPr>
      </w:pPr>
    </w:p>
    <w:p w:rsidR="00BC3BDD" w:rsidRPr="00BC3BDD" w:rsidRDefault="00BC3BDD" w:rsidP="00BC3BDD">
      <w:pPr>
        <w:autoSpaceDE w:val="0"/>
        <w:autoSpaceDN w:val="0"/>
        <w:adjustRightInd w:val="0"/>
        <w:jc w:val="center"/>
        <w:rPr>
          <w:b/>
          <w:bCs/>
          <w:color w:val="auto"/>
          <w:sz w:val="28"/>
          <w:szCs w:val="28"/>
        </w:rPr>
      </w:pPr>
      <w:r>
        <w:rPr>
          <w:b/>
          <w:bCs/>
          <w:color w:val="auto"/>
          <w:sz w:val="28"/>
          <w:szCs w:val="28"/>
        </w:rPr>
        <w:t xml:space="preserve">RFP# </w:t>
      </w:r>
      <w:r w:rsidRPr="00BC3BDD">
        <w:rPr>
          <w:b/>
          <w:bCs/>
          <w:color w:val="auto"/>
          <w:sz w:val="28"/>
          <w:szCs w:val="28"/>
        </w:rPr>
        <w:t xml:space="preserve">CFCC-201001-RB </w:t>
      </w:r>
    </w:p>
    <w:p w:rsidR="004757A5" w:rsidRPr="00C07721" w:rsidRDefault="004757A5" w:rsidP="00C07721">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p>
    <w:p w:rsidR="004757A5" w:rsidRPr="0018311F" w:rsidRDefault="00BC3BDD" w:rsidP="004757A5">
      <w:pPr>
        <w:autoSpaceDE w:val="0"/>
        <w:autoSpaceDN w:val="0"/>
        <w:adjustRightInd w:val="0"/>
        <w:jc w:val="center"/>
        <w:rPr>
          <w:b/>
          <w:color w:val="auto"/>
          <w:sz w:val="24"/>
          <w:szCs w:val="24"/>
        </w:rPr>
      </w:pPr>
      <w:r>
        <w:rPr>
          <w:b/>
          <w:color w:val="auto"/>
          <w:sz w:val="24"/>
          <w:szCs w:val="24"/>
        </w:rPr>
        <w:t>January 1</w:t>
      </w:r>
      <w:r w:rsidR="00964D98">
        <w:rPr>
          <w:b/>
          <w:color w:val="auto"/>
          <w:sz w:val="24"/>
          <w:szCs w:val="24"/>
        </w:rPr>
        <w:t>4</w:t>
      </w:r>
      <w:r>
        <w:rPr>
          <w:b/>
          <w:color w:val="auto"/>
          <w:sz w:val="24"/>
          <w:szCs w:val="24"/>
        </w:rPr>
        <w:t>, 2011</w:t>
      </w:r>
    </w:p>
    <w:p w:rsidR="004757A5" w:rsidRDefault="004757A5" w:rsidP="004757A5">
      <w:pPr>
        <w:autoSpaceDE w:val="0"/>
        <w:autoSpaceDN w:val="0"/>
        <w:adjustRightInd w:val="0"/>
        <w:jc w:val="center"/>
        <w:rPr>
          <w:b/>
          <w:bCs/>
          <w:color w:val="auto"/>
          <w:sz w:val="28"/>
          <w:szCs w:val="28"/>
        </w:rPr>
      </w:pPr>
    </w:p>
    <w:p w:rsidR="004757A5" w:rsidRDefault="004757A5" w:rsidP="004757A5">
      <w:pPr>
        <w:pBdr>
          <w:bottom w:val="thinThickSmallGap" w:sz="24" w:space="1" w:color="auto"/>
        </w:pBdr>
        <w:autoSpaceDE w:val="0"/>
        <w:autoSpaceDN w:val="0"/>
        <w:adjustRightInd w:val="0"/>
        <w:spacing w:after="240"/>
      </w:pPr>
    </w:p>
    <w:p w:rsidR="00263C8D" w:rsidRPr="00357DF7" w:rsidRDefault="00357DF7" w:rsidP="00263C8D">
      <w:pPr>
        <w:rPr>
          <w:b/>
          <w:sz w:val="28"/>
          <w:szCs w:val="28"/>
        </w:rPr>
      </w:pPr>
      <w:r w:rsidRPr="00357DF7">
        <w:rPr>
          <w:b/>
          <w:sz w:val="28"/>
          <w:szCs w:val="28"/>
        </w:rPr>
        <w:t>The following are the answers to questions received vie e-mail:</w:t>
      </w:r>
    </w:p>
    <w:p w:rsidR="00357DF7" w:rsidRDefault="00357DF7" w:rsidP="00263C8D"/>
    <w:p w:rsidR="00357DF7" w:rsidRPr="00263C8D" w:rsidRDefault="00357DF7" w:rsidP="00263C8D"/>
    <w:p w:rsidR="00BC3BDD" w:rsidRPr="00BC3BDD" w:rsidRDefault="00BC3BDD" w:rsidP="00BC3BDD">
      <w:pPr>
        <w:numPr>
          <w:ilvl w:val="0"/>
          <w:numId w:val="6"/>
        </w:numPr>
        <w:spacing w:after="240" w:line="276" w:lineRule="auto"/>
        <w:ind w:left="1627" w:hanging="1620"/>
        <w:contextualSpacing/>
        <w:rPr>
          <w:color w:val="auto"/>
          <w:sz w:val="24"/>
          <w:szCs w:val="24"/>
        </w:rPr>
      </w:pPr>
      <w:r w:rsidRPr="00BC3BDD">
        <w:rPr>
          <w:color w:val="auto"/>
          <w:sz w:val="24"/>
          <w:szCs w:val="24"/>
        </w:rPr>
        <w:t>Has Sacramento County been part of the DRAFT in the past, or is this the first year?</w:t>
      </w:r>
    </w:p>
    <w:p w:rsidR="00BC3BDD" w:rsidRPr="00BC3BDD" w:rsidRDefault="00BC3BDD" w:rsidP="00357DF7">
      <w:pPr>
        <w:numPr>
          <w:ilvl w:val="0"/>
          <w:numId w:val="7"/>
        </w:numPr>
        <w:spacing w:after="360"/>
        <w:ind w:left="1627" w:hanging="1627"/>
        <w:rPr>
          <w:color w:val="auto"/>
          <w:sz w:val="24"/>
          <w:szCs w:val="24"/>
        </w:rPr>
      </w:pPr>
      <w:r w:rsidRPr="00BC3BDD">
        <w:rPr>
          <w:color w:val="auto"/>
          <w:sz w:val="24"/>
          <w:szCs w:val="24"/>
        </w:rPr>
        <w:t>The Sacramento court joined DRAFT in 2007.</w:t>
      </w:r>
    </w:p>
    <w:p w:rsidR="00BC3BDD" w:rsidRPr="00BC3BDD" w:rsidRDefault="00BC3BDD" w:rsidP="00BC3BDD">
      <w:pPr>
        <w:numPr>
          <w:ilvl w:val="0"/>
          <w:numId w:val="6"/>
        </w:numPr>
        <w:spacing w:after="240" w:line="276" w:lineRule="auto"/>
        <w:ind w:left="1627" w:hanging="1620"/>
        <w:contextualSpacing/>
        <w:rPr>
          <w:color w:val="auto"/>
          <w:sz w:val="24"/>
          <w:szCs w:val="24"/>
        </w:rPr>
      </w:pPr>
      <w:r w:rsidRPr="00BC3BDD">
        <w:rPr>
          <w:color w:val="auto"/>
          <w:sz w:val="24"/>
          <w:szCs w:val="24"/>
        </w:rPr>
        <w:t>Is the public defender’s office currently involved in representing parents or children for the “first” parent or child?</w:t>
      </w:r>
    </w:p>
    <w:p w:rsidR="00BC3BDD" w:rsidRPr="00BC3BDD" w:rsidRDefault="00BC3BDD" w:rsidP="00BC3BDD">
      <w:pPr>
        <w:numPr>
          <w:ilvl w:val="0"/>
          <w:numId w:val="7"/>
        </w:numPr>
        <w:spacing w:after="360"/>
        <w:ind w:left="1627" w:hanging="1627"/>
        <w:rPr>
          <w:color w:val="auto"/>
          <w:sz w:val="24"/>
          <w:szCs w:val="24"/>
        </w:rPr>
      </w:pPr>
      <w:r w:rsidRPr="00BC3BDD">
        <w:rPr>
          <w:color w:val="auto"/>
          <w:sz w:val="24"/>
          <w:szCs w:val="24"/>
        </w:rPr>
        <w:t>The Public Defender’s office does not currently represent any parties in dependency proceedings in the Sacramento court.</w:t>
      </w:r>
    </w:p>
    <w:p w:rsidR="00BC3BDD" w:rsidRPr="00BC3BDD" w:rsidRDefault="00BC3BDD" w:rsidP="00BC3BDD">
      <w:pPr>
        <w:numPr>
          <w:ilvl w:val="0"/>
          <w:numId w:val="6"/>
        </w:numPr>
        <w:spacing w:after="240" w:line="276" w:lineRule="auto"/>
        <w:ind w:left="1627" w:hanging="1620"/>
        <w:contextualSpacing/>
        <w:rPr>
          <w:color w:val="auto"/>
          <w:sz w:val="24"/>
          <w:szCs w:val="24"/>
        </w:rPr>
      </w:pPr>
      <w:r w:rsidRPr="00BC3BDD">
        <w:rPr>
          <w:color w:val="auto"/>
          <w:sz w:val="24"/>
          <w:szCs w:val="24"/>
        </w:rPr>
        <w:t>Currently, how are new petitions given to the court and distributed to the attorneys?</w:t>
      </w:r>
    </w:p>
    <w:p w:rsidR="00BC3BDD" w:rsidRPr="00BC3BDD" w:rsidRDefault="00BC3BDD" w:rsidP="00444849">
      <w:pPr>
        <w:numPr>
          <w:ilvl w:val="0"/>
          <w:numId w:val="7"/>
        </w:numPr>
        <w:spacing w:after="360"/>
        <w:ind w:left="1627" w:hanging="1627"/>
        <w:rPr>
          <w:color w:val="auto"/>
          <w:sz w:val="24"/>
          <w:szCs w:val="24"/>
        </w:rPr>
      </w:pPr>
      <w:r w:rsidRPr="00BC3BDD">
        <w:rPr>
          <w:color w:val="auto"/>
          <w:sz w:val="24"/>
          <w:szCs w:val="24"/>
        </w:rPr>
        <w:t xml:space="preserve">New petitions are hand delivered to the court by the Department of Health and Human Services (DHHS).  At the same time, DHHS places copies of the petitions in designated mailboxes (located at the court) for the various attorney groups.  </w:t>
      </w:r>
    </w:p>
    <w:p w:rsidR="00BC3BDD" w:rsidRPr="00BC3BDD" w:rsidRDefault="00BC3BDD" w:rsidP="00BC3BDD">
      <w:pPr>
        <w:numPr>
          <w:ilvl w:val="0"/>
          <w:numId w:val="6"/>
        </w:numPr>
        <w:spacing w:after="240" w:line="276" w:lineRule="auto"/>
        <w:ind w:left="1627" w:hanging="1620"/>
        <w:contextualSpacing/>
        <w:rPr>
          <w:color w:val="auto"/>
          <w:sz w:val="24"/>
          <w:szCs w:val="24"/>
        </w:rPr>
      </w:pPr>
      <w:r w:rsidRPr="00BC3BDD">
        <w:rPr>
          <w:color w:val="auto"/>
          <w:sz w:val="24"/>
          <w:szCs w:val="24"/>
        </w:rPr>
        <w:t xml:space="preserve">Are detention hearings heard every day in all five courts?    </w:t>
      </w:r>
    </w:p>
    <w:p w:rsidR="00BC3BDD" w:rsidRPr="00BC3BDD" w:rsidRDefault="00BC3BDD" w:rsidP="00444849">
      <w:pPr>
        <w:numPr>
          <w:ilvl w:val="0"/>
          <w:numId w:val="7"/>
        </w:numPr>
        <w:spacing w:after="360"/>
        <w:ind w:left="1627" w:hanging="1627"/>
        <w:rPr>
          <w:color w:val="auto"/>
          <w:sz w:val="24"/>
          <w:szCs w:val="24"/>
        </w:rPr>
      </w:pPr>
      <w:r w:rsidRPr="00BC3BDD">
        <w:rPr>
          <w:color w:val="auto"/>
          <w:sz w:val="24"/>
          <w:szCs w:val="24"/>
        </w:rPr>
        <w:t>Yes.</w:t>
      </w:r>
    </w:p>
    <w:p w:rsidR="00BC3BDD" w:rsidRPr="00BC3BDD" w:rsidRDefault="00BC3BDD" w:rsidP="00BC3BDD">
      <w:pPr>
        <w:numPr>
          <w:ilvl w:val="0"/>
          <w:numId w:val="6"/>
        </w:numPr>
        <w:spacing w:after="240" w:line="276" w:lineRule="auto"/>
        <w:ind w:left="1627" w:hanging="1620"/>
        <w:contextualSpacing/>
        <w:rPr>
          <w:color w:val="auto"/>
          <w:sz w:val="24"/>
          <w:szCs w:val="24"/>
        </w:rPr>
      </w:pPr>
      <w:r w:rsidRPr="00BC3BDD">
        <w:rPr>
          <w:color w:val="auto"/>
          <w:sz w:val="24"/>
          <w:szCs w:val="24"/>
        </w:rPr>
        <w:t xml:space="preserve">How </w:t>
      </w:r>
      <w:proofErr w:type="gramStart"/>
      <w:r w:rsidRPr="00BC3BDD">
        <w:rPr>
          <w:color w:val="auto"/>
          <w:sz w:val="24"/>
          <w:szCs w:val="24"/>
        </w:rPr>
        <w:t>are the petitions</w:t>
      </w:r>
      <w:proofErr w:type="gramEnd"/>
      <w:r w:rsidRPr="00BC3BDD">
        <w:rPr>
          <w:color w:val="auto"/>
          <w:sz w:val="24"/>
          <w:szCs w:val="24"/>
        </w:rPr>
        <w:t xml:space="preserve"> currently distributed between the five departments?</w:t>
      </w:r>
    </w:p>
    <w:p w:rsidR="00BC3BDD" w:rsidRPr="00BC3BDD" w:rsidRDefault="00BC3BDD" w:rsidP="00444849">
      <w:pPr>
        <w:numPr>
          <w:ilvl w:val="0"/>
          <w:numId w:val="7"/>
        </w:numPr>
        <w:spacing w:after="360"/>
        <w:ind w:left="1627" w:hanging="1627"/>
        <w:rPr>
          <w:color w:val="auto"/>
          <w:sz w:val="24"/>
          <w:szCs w:val="24"/>
        </w:rPr>
      </w:pPr>
      <w:r w:rsidRPr="00BC3BDD">
        <w:rPr>
          <w:color w:val="auto"/>
          <w:sz w:val="24"/>
          <w:szCs w:val="24"/>
        </w:rPr>
        <w:t>New petitions are assigned in an automatic rotation to the five court departments.  Any petition filed that has an active or prior history is assigned to its original home court department.</w:t>
      </w:r>
    </w:p>
    <w:p w:rsidR="00BC3BDD" w:rsidRPr="00BC3BDD" w:rsidRDefault="00BC3BDD" w:rsidP="00BC3BDD">
      <w:pPr>
        <w:numPr>
          <w:ilvl w:val="0"/>
          <w:numId w:val="6"/>
        </w:numPr>
        <w:spacing w:after="240" w:line="276" w:lineRule="auto"/>
        <w:ind w:left="1627" w:hanging="1620"/>
        <w:contextualSpacing/>
        <w:rPr>
          <w:color w:val="auto"/>
          <w:sz w:val="24"/>
          <w:szCs w:val="24"/>
        </w:rPr>
      </w:pPr>
      <w:r w:rsidRPr="00BC3BDD">
        <w:rPr>
          <w:color w:val="auto"/>
          <w:sz w:val="24"/>
          <w:szCs w:val="24"/>
        </w:rPr>
        <w:lastRenderedPageBreak/>
        <w:t>Is it possible for the Human Services to send the petition and detention reports electronically by email to us 1-2 days prior to the detention hearing?</w:t>
      </w:r>
    </w:p>
    <w:p w:rsidR="00BC3BDD" w:rsidRPr="00BC3BDD" w:rsidRDefault="00BC3BDD" w:rsidP="00444849">
      <w:pPr>
        <w:numPr>
          <w:ilvl w:val="0"/>
          <w:numId w:val="7"/>
        </w:numPr>
        <w:spacing w:after="360"/>
        <w:ind w:left="1627" w:hanging="1627"/>
        <w:rPr>
          <w:color w:val="auto"/>
          <w:sz w:val="24"/>
          <w:szCs w:val="24"/>
        </w:rPr>
      </w:pPr>
      <w:r w:rsidRPr="00BC3BDD">
        <w:rPr>
          <w:color w:val="auto"/>
          <w:sz w:val="24"/>
          <w:szCs w:val="24"/>
        </w:rPr>
        <w:t>The department notes that it is possible to electronically send the petition the day before the detention hearing, as that is the current practice now with Sacramento Child Advocates.  It is not possible to send the report at this time.</w:t>
      </w:r>
    </w:p>
    <w:p w:rsidR="00BC3BDD" w:rsidRPr="00BC3BDD" w:rsidRDefault="00BC3BDD" w:rsidP="00BC3BDD">
      <w:pPr>
        <w:numPr>
          <w:ilvl w:val="0"/>
          <w:numId w:val="6"/>
        </w:numPr>
        <w:spacing w:after="240" w:line="276" w:lineRule="auto"/>
        <w:ind w:left="1627" w:hanging="1620"/>
        <w:contextualSpacing/>
        <w:rPr>
          <w:color w:val="auto"/>
          <w:sz w:val="24"/>
          <w:szCs w:val="24"/>
        </w:rPr>
      </w:pPr>
      <w:proofErr w:type="gramStart"/>
      <w:r w:rsidRPr="00BC3BDD">
        <w:rPr>
          <w:color w:val="auto"/>
          <w:sz w:val="24"/>
          <w:szCs w:val="24"/>
        </w:rPr>
        <w:t>Do the Human Services case</w:t>
      </w:r>
      <w:proofErr w:type="gramEnd"/>
      <w:r w:rsidRPr="00BC3BDD">
        <w:rPr>
          <w:color w:val="auto"/>
          <w:sz w:val="24"/>
          <w:szCs w:val="24"/>
        </w:rPr>
        <w:t xml:space="preserve"> carrying social workers come to every court appearance?</w:t>
      </w:r>
    </w:p>
    <w:p w:rsidR="00BC3BDD" w:rsidRPr="00BC3BDD" w:rsidRDefault="00BC3BDD" w:rsidP="00444849">
      <w:pPr>
        <w:numPr>
          <w:ilvl w:val="0"/>
          <w:numId w:val="7"/>
        </w:numPr>
        <w:spacing w:after="360"/>
        <w:ind w:left="1627" w:hanging="1627"/>
        <w:rPr>
          <w:color w:val="auto"/>
          <w:sz w:val="24"/>
          <w:szCs w:val="24"/>
        </w:rPr>
      </w:pPr>
      <w:r w:rsidRPr="00BC3BDD">
        <w:rPr>
          <w:color w:val="auto"/>
          <w:sz w:val="24"/>
          <w:szCs w:val="24"/>
        </w:rPr>
        <w:t>A department social worker is present in court for every non-contested matter, but the case carrying social worker is not.</w:t>
      </w:r>
    </w:p>
    <w:p w:rsidR="00BC3BDD" w:rsidRPr="00BC3BDD" w:rsidRDefault="00BC3BDD" w:rsidP="00BC3BDD">
      <w:pPr>
        <w:numPr>
          <w:ilvl w:val="0"/>
          <w:numId w:val="6"/>
        </w:numPr>
        <w:spacing w:after="240" w:line="276" w:lineRule="auto"/>
        <w:ind w:left="1627" w:hanging="1620"/>
        <w:contextualSpacing/>
        <w:rPr>
          <w:color w:val="auto"/>
          <w:sz w:val="24"/>
          <w:szCs w:val="24"/>
        </w:rPr>
      </w:pPr>
      <w:r w:rsidRPr="00BC3BDD">
        <w:rPr>
          <w:color w:val="auto"/>
          <w:sz w:val="24"/>
          <w:szCs w:val="24"/>
        </w:rPr>
        <w:t>Will the court be able to provide the case number, name of each party and the name of the current attorney and next court date in a print out form as well as in an electronic form, e.g., Excel spreadsheet or other format?</w:t>
      </w:r>
    </w:p>
    <w:p w:rsidR="00BC3BDD" w:rsidRPr="00BC3BDD" w:rsidRDefault="00BC3BDD" w:rsidP="00444849">
      <w:pPr>
        <w:numPr>
          <w:ilvl w:val="0"/>
          <w:numId w:val="7"/>
        </w:numPr>
        <w:spacing w:after="360"/>
        <w:ind w:left="1627" w:hanging="1627"/>
        <w:rPr>
          <w:color w:val="auto"/>
          <w:sz w:val="24"/>
          <w:szCs w:val="24"/>
        </w:rPr>
      </w:pPr>
      <w:r w:rsidRPr="00BC3BDD">
        <w:rPr>
          <w:color w:val="auto"/>
          <w:sz w:val="24"/>
          <w:szCs w:val="24"/>
        </w:rPr>
        <w:t>The AOC will be able to provide this information based on JCATS reporting.</w:t>
      </w:r>
    </w:p>
    <w:p w:rsidR="00BC3BDD" w:rsidRPr="00BC3BDD" w:rsidRDefault="00BC3BDD" w:rsidP="00BC3BDD">
      <w:pPr>
        <w:numPr>
          <w:ilvl w:val="0"/>
          <w:numId w:val="6"/>
        </w:numPr>
        <w:spacing w:after="240" w:line="276" w:lineRule="auto"/>
        <w:ind w:left="1627" w:hanging="1620"/>
        <w:contextualSpacing/>
        <w:rPr>
          <w:color w:val="auto"/>
          <w:sz w:val="24"/>
          <w:szCs w:val="24"/>
        </w:rPr>
      </w:pPr>
      <w:r w:rsidRPr="00BC3BDD">
        <w:rPr>
          <w:color w:val="auto"/>
          <w:sz w:val="24"/>
          <w:szCs w:val="24"/>
        </w:rPr>
        <w:t xml:space="preserve">Will the JCATS reporting requirements be the same </w:t>
      </w:r>
      <w:r w:rsidR="00964D98">
        <w:rPr>
          <w:color w:val="auto"/>
          <w:sz w:val="24"/>
          <w:szCs w:val="24"/>
        </w:rPr>
        <w:t xml:space="preserve">as </w:t>
      </w:r>
      <w:r w:rsidRPr="00BC3BDD">
        <w:rPr>
          <w:color w:val="auto"/>
          <w:sz w:val="24"/>
          <w:szCs w:val="24"/>
        </w:rPr>
        <w:t xml:space="preserve">they are in current contracts, i.e. every month reporting of open and closed cases, and one quarter a year capturing the time for each case?  </w:t>
      </w:r>
    </w:p>
    <w:p w:rsidR="00BC3BDD" w:rsidRPr="00BC3BDD" w:rsidRDefault="00BC3BDD" w:rsidP="00BC3BDD">
      <w:pPr>
        <w:numPr>
          <w:ilvl w:val="0"/>
          <w:numId w:val="7"/>
        </w:numPr>
        <w:spacing w:after="240"/>
        <w:ind w:left="1627" w:hanging="1620"/>
        <w:rPr>
          <w:color w:val="auto"/>
          <w:sz w:val="24"/>
          <w:szCs w:val="24"/>
        </w:rPr>
      </w:pPr>
      <w:r w:rsidRPr="00BC3BDD">
        <w:rPr>
          <w:color w:val="auto"/>
          <w:sz w:val="24"/>
          <w:szCs w:val="24"/>
        </w:rPr>
        <w:t>Attachment C, Section 10.</w:t>
      </w:r>
      <w:r w:rsidR="00964D98">
        <w:rPr>
          <w:color w:val="auto"/>
          <w:sz w:val="24"/>
          <w:szCs w:val="24"/>
        </w:rPr>
        <w:t>6</w:t>
      </w:r>
      <w:r w:rsidRPr="00BC3BDD">
        <w:rPr>
          <w:color w:val="auto"/>
          <w:sz w:val="24"/>
          <w:szCs w:val="24"/>
        </w:rPr>
        <w:t xml:space="preserve"> of the RFP specifies that “The Service provider will be required to use the JCATS calendaring function to track court hearings.”  This is a new requirement.</w:t>
      </w:r>
    </w:p>
    <w:p w:rsidR="00BC3BDD" w:rsidRPr="00BC3BDD" w:rsidRDefault="00BC3BDD" w:rsidP="00BC3BDD">
      <w:pPr>
        <w:numPr>
          <w:ilvl w:val="0"/>
          <w:numId w:val="6"/>
        </w:numPr>
        <w:spacing w:after="240" w:line="276" w:lineRule="auto"/>
        <w:ind w:left="1627" w:hanging="1620"/>
        <w:contextualSpacing/>
        <w:rPr>
          <w:color w:val="auto"/>
          <w:sz w:val="24"/>
          <w:szCs w:val="24"/>
        </w:rPr>
      </w:pPr>
      <w:r w:rsidRPr="00BC3BDD">
        <w:rPr>
          <w:color w:val="auto"/>
          <w:sz w:val="24"/>
          <w:szCs w:val="24"/>
        </w:rPr>
        <w:t>It was stated at the bidders</w:t>
      </w:r>
      <w:r>
        <w:rPr>
          <w:color w:val="auto"/>
          <w:sz w:val="24"/>
          <w:szCs w:val="24"/>
        </w:rPr>
        <w:t>’</w:t>
      </w:r>
      <w:r w:rsidRPr="00BC3BDD">
        <w:rPr>
          <w:color w:val="auto"/>
          <w:sz w:val="24"/>
          <w:szCs w:val="24"/>
        </w:rPr>
        <w:t xml:space="preserve"> conference that the proposed allocation (budget) is consistent with the current level of funding for appointed counsel.  However, the RFP provides a range of funding for each </w:t>
      </w:r>
      <w:smartTag w:uri="urn:schemas-microsoft-com:office:smarttags" w:element="place">
        <w:r w:rsidRPr="00BC3BDD">
          <w:rPr>
            <w:color w:val="auto"/>
            <w:sz w:val="24"/>
            <w:szCs w:val="24"/>
          </w:rPr>
          <w:t>Lot</w:t>
        </w:r>
      </w:smartTag>
      <w:r w:rsidRPr="00BC3BDD">
        <w:rPr>
          <w:color w:val="auto"/>
          <w:sz w:val="24"/>
          <w:szCs w:val="24"/>
        </w:rPr>
        <w:t xml:space="preserve">.  What is the actual annual AOC funding for Children’s Representation (Lot 1) in </w:t>
      </w:r>
      <w:smartTag w:uri="urn:schemas-microsoft-com:office:smarttags" w:element="place">
        <w:smartTag w:uri="urn:schemas-microsoft-com:office:smarttags" w:element="place">
          <w:r w:rsidRPr="00BC3BDD">
            <w:rPr>
              <w:color w:val="auto"/>
              <w:sz w:val="24"/>
              <w:szCs w:val="24"/>
            </w:rPr>
            <w:t>Sacramento</w:t>
          </w:r>
        </w:smartTag>
        <w:r w:rsidRPr="00BC3BDD">
          <w:rPr>
            <w:color w:val="auto"/>
            <w:sz w:val="24"/>
            <w:szCs w:val="24"/>
          </w:rPr>
          <w:t xml:space="preserve"> </w:t>
        </w:r>
        <w:smartTag w:uri="urn:schemas-microsoft-com:office:smarttags" w:element="place">
          <w:r w:rsidRPr="00BC3BDD">
            <w:rPr>
              <w:color w:val="auto"/>
              <w:sz w:val="24"/>
              <w:szCs w:val="24"/>
            </w:rPr>
            <w:t>County</w:t>
          </w:r>
        </w:smartTag>
      </w:smartTag>
      <w:r w:rsidRPr="00BC3BDD">
        <w:rPr>
          <w:color w:val="auto"/>
          <w:sz w:val="24"/>
          <w:szCs w:val="24"/>
        </w:rPr>
        <w:t>?  </w:t>
      </w:r>
    </w:p>
    <w:p w:rsidR="00BC3BDD" w:rsidRPr="00BC3BDD" w:rsidRDefault="00BC3BDD" w:rsidP="00444849">
      <w:pPr>
        <w:numPr>
          <w:ilvl w:val="0"/>
          <w:numId w:val="7"/>
        </w:numPr>
        <w:spacing w:after="360"/>
        <w:ind w:left="1627" w:hanging="1627"/>
        <w:rPr>
          <w:color w:val="auto"/>
          <w:sz w:val="24"/>
          <w:szCs w:val="24"/>
        </w:rPr>
      </w:pPr>
      <w:r w:rsidRPr="00BC3BDD">
        <w:rPr>
          <w:color w:val="auto"/>
          <w:sz w:val="24"/>
          <w:szCs w:val="24"/>
        </w:rPr>
        <w:t xml:space="preserve">The current annual funding for children’s representation in the </w:t>
      </w:r>
      <w:smartTag w:uri="urn:schemas-microsoft-com:office:smarttags" w:element="place">
        <w:r w:rsidRPr="00BC3BDD">
          <w:rPr>
            <w:color w:val="auto"/>
            <w:sz w:val="24"/>
            <w:szCs w:val="24"/>
          </w:rPr>
          <w:t>Sacramento</w:t>
        </w:r>
      </w:smartTag>
      <w:r w:rsidRPr="00BC3BDD">
        <w:rPr>
          <w:color w:val="auto"/>
          <w:sz w:val="24"/>
          <w:szCs w:val="24"/>
        </w:rPr>
        <w:t xml:space="preserve"> court is $2,622,241.</w:t>
      </w:r>
    </w:p>
    <w:p w:rsidR="00BC3BDD" w:rsidRPr="00BC3BDD" w:rsidRDefault="00BC3BDD" w:rsidP="00BC3BDD">
      <w:pPr>
        <w:numPr>
          <w:ilvl w:val="0"/>
          <w:numId w:val="6"/>
        </w:numPr>
        <w:spacing w:after="240" w:line="276" w:lineRule="auto"/>
        <w:ind w:left="1627" w:hanging="1620"/>
        <w:contextualSpacing/>
        <w:rPr>
          <w:color w:val="auto"/>
          <w:sz w:val="24"/>
          <w:szCs w:val="24"/>
        </w:rPr>
      </w:pPr>
      <w:r w:rsidRPr="00BC3BDD">
        <w:rPr>
          <w:color w:val="auto"/>
          <w:sz w:val="24"/>
          <w:szCs w:val="24"/>
        </w:rPr>
        <w:t>What portion of current funding is allocated to Sacramento Child Advocates and what portion for conflict representation?</w:t>
      </w:r>
    </w:p>
    <w:p w:rsidR="00BC3BDD" w:rsidRPr="00BC3BDD" w:rsidRDefault="00BC3BDD" w:rsidP="00444849">
      <w:pPr>
        <w:numPr>
          <w:ilvl w:val="0"/>
          <w:numId w:val="7"/>
        </w:numPr>
        <w:spacing w:after="360"/>
        <w:ind w:left="1627" w:hanging="1627"/>
        <w:rPr>
          <w:color w:val="auto"/>
          <w:sz w:val="24"/>
          <w:szCs w:val="24"/>
        </w:rPr>
      </w:pPr>
      <w:r w:rsidRPr="00BC3BDD">
        <w:rPr>
          <w:color w:val="auto"/>
          <w:sz w:val="24"/>
          <w:szCs w:val="24"/>
        </w:rPr>
        <w:lastRenderedPageBreak/>
        <w:t>The contract with Sacramento Child Advocates includes representation of all children; the cost of conflicts representation is not separately reported.</w:t>
      </w:r>
    </w:p>
    <w:p w:rsidR="00BC3BDD" w:rsidRPr="00BC3BDD" w:rsidRDefault="00BC3BDD" w:rsidP="00BC3BDD">
      <w:pPr>
        <w:numPr>
          <w:ilvl w:val="0"/>
          <w:numId w:val="6"/>
        </w:numPr>
        <w:spacing w:after="240" w:line="276" w:lineRule="auto"/>
        <w:ind w:left="1627" w:hanging="1620"/>
        <w:contextualSpacing/>
        <w:rPr>
          <w:color w:val="auto"/>
          <w:sz w:val="24"/>
          <w:szCs w:val="24"/>
        </w:rPr>
      </w:pPr>
      <w:r w:rsidRPr="00BC3BDD">
        <w:rPr>
          <w:color w:val="auto"/>
          <w:sz w:val="24"/>
          <w:szCs w:val="24"/>
        </w:rPr>
        <w:t>Will the current conflict panel have the option of keeping their cases or will all of the conflict cases (currently at 659) be transferred to the contractor?</w:t>
      </w:r>
    </w:p>
    <w:p w:rsidR="00BC3BDD" w:rsidRPr="00BC3BDD" w:rsidRDefault="00BC3BDD" w:rsidP="00444849">
      <w:pPr>
        <w:numPr>
          <w:ilvl w:val="0"/>
          <w:numId w:val="7"/>
        </w:numPr>
        <w:spacing w:after="360"/>
        <w:ind w:left="1627" w:hanging="1627"/>
        <w:rPr>
          <w:color w:val="auto"/>
          <w:sz w:val="24"/>
          <w:szCs w:val="24"/>
        </w:rPr>
      </w:pPr>
      <w:r w:rsidRPr="00BC3BDD">
        <w:rPr>
          <w:color w:val="auto"/>
          <w:sz w:val="24"/>
          <w:szCs w:val="24"/>
        </w:rPr>
        <w:t>Please see Attachment C, Section 7 of the RFP, which states that it is the intent of the court to transfer all dependency cases to the new providers, with the exception of those cases where the court determines that such a transfer would jeopardize competent representation.  This section applies to all cases, regardless of current representation.</w:t>
      </w:r>
    </w:p>
    <w:p w:rsidR="0043407B" w:rsidRDefault="0043407B" w:rsidP="0043407B">
      <w:pPr>
        <w:autoSpaceDE w:val="0"/>
        <w:autoSpaceDN w:val="0"/>
        <w:adjustRightInd w:val="0"/>
        <w:spacing w:after="240"/>
      </w:pPr>
    </w:p>
    <w:p w:rsidR="00A45EB1" w:rsidRPr="00A45EB1" w:rsidRDefault="00A45EB1" w:rsidP="00A45EB1">
      <w:pPr>
        <w:autoSpaceDE w:val="0"/>
        <w:autoSpaceDN w:val="0"/>
        <w:adjustRightInd w:val="0"/>
        <w:spacing w:after="240"/>
        <w:jc w:val="center"/>
        <w:rPr>
          <w:i/>
        </w:rPr>
      </w:pPr>
      <w:r w:rsidRPr="00A45EB1">
        <w:rPr>
          <w:i/>
        </w:rPr>
        <w:t>[END OF QUESTIONS AND ANSWERS]</w:t>
      </w:r>
    </w:p>
    <w:sectPr w:rsidR="00A45EB1" w:rsidRPr="00A45EB1" w:rsidSect="00A45EB1">
      <w:headerReference w:type="default" r:id="rId7"/>
      <w:footerReference w:type="default" r:id="rId8"/>
      <w:footerReference w:type="first" r:id="rId9"/>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B9" w:rsidRDefault="008D6CB9">
      <w:r>
        <w:separator/>
      </w:r>
    </w:p>
  </w:endnote>
  <w:endnote w:type="continuationSeparator" w:id="0">
    <w:p w:rsidR="008D6CB9" w:rsidRDefault="008D6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B9" w:rsidRDefault="008D6CB9" w:rsidP="00A45EB1">
    <w:pPr>
      <w:pStyle w:val="Footer"/>
      <w:jc w:val="center"/>
    </w:pPr>
    <w:r>
      <w:t xml:space="preserve">Page </w:t>
    </w:r>
    <w:fldSimple w:instr=" PAGE ">
      <w:r w:rsidR="000E0A22">
        <w:rPr>
          <w:noProof/>
        </w:rPr>
        <w:t>3</w:t>
      </w:r>
    </w:fldSimple>
    <w:r>
      <w:t xml:space="preserve"> of </w:t>
    </w:r>
    <w:fldSimple w:instr=" NUMPAGES ">
      <w:r w:rsidR="000E0A22">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B9" w:rsidRDefault="008D6CB9" w:rsidP="00A45EB1">
    <w:pPr>
      <w:pStyle w:val="Footer"/>
      <w:jc w:val="center"/>
    </w:pPr>
    <w:r>
      <w:t xml:space="preserve">Page </w:t>
    </w:r>
    <w:fldSimple w:instr=" PAGE ">
      <w:r w:rsidR="000E0A22">
        <w:rPr>
          <w:noProof/>
        </w:rPr>
        <w:t>1</w:t>
      </w:r>
    </w:fldSimple>
    <w:r>
      <w:t xml:space="preserve"> of </w:t>
    </w:r>
    <w:fldSimple w:instr=" NUMPAGES ">
      <w:r w:rsidR="000E0A22">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B9" w:rsidRDefault="008D6CB9">
      <w:r>
        <w:separator/>
      </w:r>
    </w:p>
  </w:footnote>
  <w:footnote w:type="continuationSeparator" w:id="0">
    <w:p w:rsidR="008D6CB9" w:rsidRDefault="008D6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B9" w:rsidRDefault="008D6CB9" w:rsidP="00610910">
    <w:pPr>
      <w:autoSpaceDE w:val="0"/>
      <w:autoSpaceDN w:val="0"/>
      <w:adjustRightInd w:val="0"/>
      <w:jc w:val="center"/>
      <w:rPr>
        <w:b/>
        <w:bCs/>
        <w:color w:val="auto"/>
        <w:sz w:val="28"/>
        <w:szCs w:val="28"/>
      </w:rPr>
    </w:pPr>
    <w:r w:rsidRPr="00C07721">
      <w:rPr>
        <w:b/>
        <w:bCs/>
        <w:color w:val="auto"/>
        <w:sz w:val="28"/>
        <w:szCs w:val="28"/>
      </w:rPr>
      <w:t xml:space="preserve">Administrative Office of the Courts </w:t>
    </w:r>
  </w:p>
  <w:p w:rsidR="008D6CB9" w:rsidRPr="00BC3BDD" w:rsidRDefault="008D6CB9" w:rsidP="00BC3BDD">
    <w:pPr>
      <w:pBdr>
        <w:bottom w:val="thinThickSmallGap" w:sz="24" w:space="1" w:color="auto"/>
      </w:pBdr>
      <w:autoSpaceDE w:val="0"/>
      <w:autoSpaceDN w:val="0"/>
      <w:adjustRightInd w:val="0"/>
      <w:jc w:val="center"/>
      <w:rPr>
        <w:b/>
        <w:bCs/>
        <w:color w:val="auto"/>
        <w:sz w:val="28"/>
        <w:szCs w:val="28"/>
      </w:rPr>
    </w:pPr>
    <w:r w:rsidRPr="00BC3BDD">
      <w:rPr>
        <w:b/>
        <w:bCs/>
        <w:color w:val="auto"/>
        <w:sz w:val="28"/>
        <w:szCs w:val="28"/>
      </w:rPr>
      <w:t>Sacramento Dependency Representation</w:t>
    </w:r>
  </w:p>
  <w:p w:rsidR="008D6CB9" w:rsidRPr="00BC3BDD" w:rsidRDefault="008D6CB9" w:rsidP="00BC3BDD">
    <w:pPr>
      <w:pBdr>
        <w:bottom w:val="thinThickSmallGap" w:sz="24" w:space="1" w:color="auto"/>
      </w:pBdr>
      <w:autoSpaceDE w:val="0"/>
      <w:autoSpaceDN w:val="0"/>
      <w:adjustRightInd w:val="0"/>
      <w:spacing w:after="240"/>
      <w:jc w:val="center"/>
      <w:rPr>
        <w:b/>
        <w:bCs/>
        <w:color w:val="auto"/>
        <w:sz w:val="28"/>
        <w:szCs w:val="28"/>
      </w:rPr>
    </w:pPr>
    <w:r w:rsidRPr="00BC3BDD">
      <w:rPr>
        <w:b/>
        <w:bCs/>
        <w:color w:val="auto"/>
        <w:sz w:val="28"/>
        <w:szCs w:val="28"/>
      </w:rPr>
      <w:t>R</w:t>
    </w:r>
    <w:r>
      <w:rPr>
        <w:b/>
        <w:bCs/>
        <w:color w:val="auto"/>
        <w:sz w:val="28"/>
        <w:szCs w:val="28"/>
      </w:rPr>
      <w:t>F</w:t>
    </w:r>
    <w:r w:rsidRPr="00BC3BDD">
      <w:rPr>
        <w:b/>
        <w:bCs/>
        <w:color w:val="auto"/>
        <w:sz w:val="28"/>
        <w:szCs w:val="28"/>
      </w:rPr>
      <w:t>P# CFCC-201001-RB</w:t>
    </w:r>
  </w:p>
  <w:p w:rsidR="008D6CB9" w:rsidRDefault="008D6CB9" w:rsidP="00BC3BDD">
    <w:pPr>
      <w:pBdr>
        <w:bottom w:val="thinThickSmallGap" w:sz="24" w:space="1" w:color="auto"/>
      </w:pBdr>
      <w:autoSpaceDE w:val="0"/>
      <w:autoSpaceDN w:val="0"/>
      <w:adjustRightInd w:val="0"/>
      <w:spacing w:after="240"/>
      <w:jc w:val="center"/>
    </w:pPr>
    <w:r w:rsidRPr="00BC3BDD">
      <w:rPr>
        <w:b/>
        <w:bCs/>
        <w:color w:val="auto"/>
        <w:sz w:val="28"/>
        <w:szCs w:val="28"/>
      </w:rPr>
      <w:t>January 12, 2011</w:t>
    </w:r>
  </w:p>
  <w:p w:rsidR="008D6CB9" w:rsidRDefault="008D6CB9" w:rsidP="00A45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464"/>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0319F"/>
    <w:multiLevelType w:val="hybridMultilevel"/>
    <w:tmpl w:val="69FAFE32"/>
    <w:lvl w:ilvl="0" w:tplc="6694C52A">
      <w:start w:val="1"/>
      <w:numFmt w:val="decimal"/>
      <w:lvlText w:val="Answer #%1."/>
      <w:lvlJc w:val="left"/>
      <w:pPr>
        <w:ind w:left="720" w:hanging="360"/>
      </w:pPr>
      <w:rPr>
        <w:rFonts w:ascii="Times New Roman" w:hAnsi="Times New Roman" w:cs="Times New Roman" w:hint="default"/>
        <w:i/>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4664F66"/>
    <w:multiLevelType w:val="hybridMultilevel"/>
    <w:tmpl w:val="4EFC712C"/>
    <w:lvl w:ilvl="0" w:tplc="0236536A">
      <w:start w:val="1"/>
      <w:numFmt w:val="decimal"/>
      <w:lvlText w:val="Question #%1."/>
      <w:lvlJc w:val="left"/>
      <w:pPr>
        <w:ind w:left="720" w:hanging="360"/>
      </w:pPr>
      <w:rPr>
        <w:rFonts w:cs="Times New Roman" w:hint="default"/>
        <w:i/>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rsids>
    <w:rsidRoot w:val="00FE288B"/>
    <w:rsid w:val="00004A1E"/>
    <w:rsid w:val="000076E6"/>
    <w:rsid w:val="00016886"/>
    <w:rsid w:val="00022B9F"/>
    <w:rsid w:val="00034159"/>
    <w:rsid w:val="00034D65"/>
    <w:rsid w:val="00060427"/>
    <w:rsid w:val="00086750"/>
    <w:rsid w:val="00094B12"/>
    <w:rsid w:val="000A6972"/>
    <w:rsid w:val="000A6D1A"/>
    <w:rsid w:val="000B1398"/>
    <w:rsid w:val="000C06BD"/>
    <w:rsid w:val="000E0A22"/>
    <w:rsid w:val="000E4416"/>
    <w:rsid w:val="000E769D"/>
    <w:rsid w:val="000F1E1D"/>
    <w:rsid w:val="000F44A4"/>
    <w:rsid w:val="00105FDC"/>
    <w:rsid w:val="00115196"/>
    <w:rsid w:val="00117FD0"/>
    <w:rsid w:val="00120F96"/>
    <w:rsid w:val="0012601D"/>
    <w:rsid w:val="001271EB"/>
    <w:rsid w:val="00131CFB"/>
    <w:rsid w:val="0014582A"/>
    <w:rsid w:val="001468AC"/>
    <w:rsid w:val="001502DD"/>
    <w:rsid w:val="00155890"/>
    <w:rsid w:val="001605D9"/>
    <w:rsid w:val="00167E11"/>
    <w:rsid w:val="00183D34"/>
    <w:rsid w:val="001A357A"/>
    <w:rsid w:val="001A7BF4"/>
    <w:rsid w:val="001B0373"/>
    <w:rsid w:val="001B1AA1"/>
    <w:rsid w:val="001B79D4"/>
    <w:rsid w:val="001C0B54"/>
    <w:rsid w:val="001C46C3"/>
    <w:rsid w:val="001C6ECA"/>
    <w:rsid w:val="001E0DFC"/>
    <w:rsid w:val="001F3AD9"/>
    <w:rsid w:val="001F441D"/>
    <w:rsid w:val="001F484F"/>
    <w:rsid w:val="001F5C4C"/>
    <w:rsid w:val="00227F47"/>
    <w:rsid w:val="00230614"/>
    <w:rsid w:val="00240027"/>
    <w:rsid w:val="0024595B"/>
    <w:rsid w:val="002602F5"/>
    <w:rsid w:val="00263426"/>
    <w:rsid w:val="00263C8D"/>
    <w:rsid w:val="002648AA"/>
    <w:rsid w:val="002667F6"/>
    <w:rsid w:val="002671B5"/>
    <w:rsid w:val="002801EE"/>
    <w:rsid w:val="00297B14"/>
    <w:rsid w:val="002A3361"/>
    <w:rsid w:val="002A6568"/>
    <w:rsid w:val="002A6C06"/>
    <w:rsid w:val="002A7C04"/>
    <w:rsid w:val="002C069B"/>
    <w:rsid w:val="002C0B5B"/>
    <w:rsid w:val="002C1118"/>
    <w:rsid w:val="002C294F"/>
    <w:rsid w:val="002C4F09"/>
    <w:rsid w:val="002D3DA7"/>
    <w:rsid w:val="002E0E21"/>
    <w:rsid w:val="002E2A78"/>
    <w:rsid w:val="002E321D"/>
    <w:rsid w:val="002F1E7B"/>
    <w:rsid w:val="002F5EFC"/>
    <w:rsid w:val="0030067A"/>
    <w:rsid w:val="003165B2"/>
    <w:rsid w:val="003169EB"/>
    <w:rsid w:val="00322457"/>
    <w:rsid w:val="003245A0"/>
    <w:rsid w:val="00327A61"/>
    <w:rsid w:val="003346DD"/>
    <w:rsid w:val="003353C6"/>
    <w:rsid w:val="00344121"/>
    <w:rsid w:val="0035097C"/>
    <w:rsid w:val="00357DF7"/>
    <w:rsid w:val="003677BB"/>
    <w:rsid w:val="003678D4"/>
    <w:rsid w:val="003751BD"/>
    <w:rsid w:val="00376C2A"/>
    <w:rsid w:val="003865D3"/>
    <w:rsid w:val="003879B6"/>
    <w:rsid w:val="00391931"/>
    <w:rsid w:val="003945DB"/>
    <w:rsid w:val="00395DBD"/>
    <w:rsid w:val="003A1A70"/>
    <w:rsid w:val="003B1B9F"/>
    <w:rsid w:val="003B2D2C"/>
    <w:rsid w:val="003B3192"/>
    <w:rsid w:val="003B5FEE"/>
    <w:rsid w:val="003B7A81"/>
    <w:rsid w:val="003C19AB"/>
    <w:rsid w:val="003D1A32"/>
    <w:rsid w:val="003D40E5"/>
    <w:rsid w:val="003D4949"/>
    <w:rsid w:val="003E1335"/>
    <w:rsid w:val="003E313F"/>
    <w:rsid w:val="003F7FC2"/>
    <w:rsid w:val="004117C3"/>
    <w:rsid w:val="0043407B"/>
    <w:rsid w:val="00437BF6"/>
    <w:rsid w:val="00442090"/>
    <w:rsid w:val="00442D58"/>
    <w:rsid w:val="00444849"/>
    <w:rsid w:val="00445729"/>
    <w:rsid w:val="00447024"/>
    <w:rsid w:val="00457349"/>
    <w:rsid w:val="004757A5"/>
    <w:rsid w:val="00481F70"/>
    <w:rsid w:val="00484CCB"/>
    <w:rsid w:val="00494900"/>
    <w:rsid w:val="004A0AB2"/>
    <w:rsid w:val="004A24C0"/>
    <w:rsid w:val="004A5C55"/>
    <w:rsid w:val="004A603A"/>
    <w:rsid w:val="004B6893"/>
    <w:rsid w:val="004B68BF"/>
    <w:rsid w:val="004C4F31"/>
    <w:rsid w:val="004C5393"/>
    <w:rsid w:val="004D56FD"/>
    <w:rsid w:val="004F33F6"/>
    <w:rsid w:val="005002B5"/>
    <w:rsid w:val="005005A9"/>
    <w:rsid w:val="00506289"/>
    <w:rsid w:val="005078F2"/>
    <w:rsid w:val="0053510D"/>
    <w:rsid w:val="0054673C"/>
    <w:rsid w:val="00552199"/>
    <w:rsid w:val="00553F89"/>
    <w:rsid w:val="005573EA"/>
    <w:rsid w:val="005730FF"/>
    <w:rsid w:val="005756C5"/>
    <w:rsid w:val="00594CD6"/>
    <w:rsid w:val="00597808"/>
    <w:rsid w:val="00597AFC"/>
    <w:rsid w:val="005A2D3A"/>
    <w:rsid w:val="005C0866"/>
    <w:rsid w:val="005C5AF7"/>
    <w:rsid w:val="005C6A3D"/>
    <w:rsid w:val="005D74A3"/>
    <w:rsid w:val="005E2D2D"/>
    <w:rsid w:val="005E715A"/>
    <w:rsid w:val="006008D8"/>
    <w:rsid w:val="00610910"/>
    <w:rsid w:val="0061444D"/>
    <w:rsid w:val="00614ED0"/>
    <w:rsid w:val="00614ED8"/>
    <w:rsid w:val="0062332E"/>
    <w:rsid w:val="00623A82"/>
    <w:rsid w:val="00636010"/>
    <w:rsid w:val="00641448"/>
    <w:rsid w:val="006438C5"/>
    <w:rsid w:val="006640B5"/>
    <w:rsid w:val="00664699"/>
    <w:rsid w:val="006771D9"/>
    <w:rsid w:val="00680F7F"/>
    <w:rsid w:val="00681903"/>
    <w:rsid w:val="00682629"/>
    <w:rsid w:val="00687F3E"/>
    <w:rsid w:val="006978E2"/>
    <w:rsid w:val="006A3255"/>
    <w:rsid w:val="006A6739"/>
    <w:rsid w:val="006B0DB7"/>
    <w:rsid w:val="006B211D"/>
    <w:rsid w:val="006C02BE"/>
    <w:rsid w:val="006C5AF2"/>
    <w:rsid w:val="006E4816"/>
    <w:rsid w:val="006E6FE9"/>
    <w:rsid w:val="006F6E47"/>
    <w:rsid w:val="00700D37"/>
    <w:rsid w:val="007055EA"/>
    <w:rsid w:val="00714696"/>
    <w:rsid w:val="007356D0"/>
    <w:rsid w:val="00736279"/>
    <w:rsid w:val="007420CA"/>
    <w:rsid w:val="007456C2"/>
    <w:rsid w:val="00745E64"/>
    <w:rsid w:val="0075410F"/>
    <w:rsid w:val="00756D6B"/>
    <w:rsid w:val="00757505"/>
    <w:rsid w:val="00765C87"/>
    <w:rsid w:val="00766723"/>
    <w:rsid w:val="0077472D"/>
    <w:rsid w:val="00776831"/>
    <w:rsid w:val="0078033B"/>
    <w:rsid w:val="00783A4A"/>
    <w:rsid w:val="007859CB"/>
    <w:rsid w:val="00791408"/>
    <w:rsid w:val="007979EE"/>
    <w:rsid w:val="007A17F3"/>
    <w:rsid w:val="007A38B4"/>
    <w:rsid w:val="007A68F8"/>
    <w:rsid w:val="007A7FB2"/>
    <w:rsid w:val="007B33DD"/>
    <w:rsid w:val="007D0AAA"/>
    <w:rsid w:val="007D1FD9"/>
    <w:rsid w:val="007E27CA"/>
    <w:rsid w:val="007E6185"/>
    <w:rsid w:val="007F0E6F"/>
    <w:rsid w:val="007F34A4"/>
    <w:rsid w:val="00800578"/>
    <w:rsid w:val="00802BBF"/>
    <w:rsid w:val="008035B9"/>
    <w:rsid w:val="00805DE7"/>
    <w:rsid w:val="0081146E"/>
    <w:rsid w:val="00811E15"/>
    <w:rsid w:val="008151E2"/>
    <w:rsid w:val="00835DDD"/>
    <w:rsid w:val="00835EA4"/>
    <w:rsid w:val="0084176A"/>
    <w:rsid w:val="00842F47"/>
    <w:rsid w:val="00844968"/>
    <w:rsid w:val="00845A82"/>
    <w:rsid w:val="008516C5"/>
    <w:rsid w:val="0085438D"/>
    <w:rsid w:val="008657E8"/>
    <w:rsid w:val="00866C3E"/>
    <w:rsid w:val="00885203"/>
    <w:rsid w:val="00891BAC"/>
    <w:rsid w:val="008A0452"/>
    <w:rsid w:val="008A0E82"/>
    <w:rsid w:val="008A283C"/>
    <w:rsid w:val="008A3047"/>
    <w:rsid w:val="008A52D2"/>
    <w:rsid w:val="008C1955"/>
    <w:rsid w:val="008D6CB9"/>
    <w:rsid w:val="008E067B"/>
    <w:rsid w:val="008E4EB7"/>
    <w:rsid w:val="008E5A91"/>
    <w:rsid w:val="0090210B"/>
    <w:rsid w:val="009052BC"/>
    <w:rsid w:val="00911D19"/>
    <w:rsid w:val="00917943"/>
    <w:rsid w:val="00921A37"/>
    <w:rsid w:val="009240EB"/>
    <w:rsid w:val="009377A0"/>
    <w:rsid w:val="0094336D"/>
    <w:rsid w:val="0095284F"/>
    <w:rsid w:val="00953390"/>
    <w:rsid w:val="00963629"/>
    <w:rsid w:val="00964D98"/>
    <w:rsid w:val="00965DA7"/>
    <w:rsid w:val="00967774"/>
    <w:rsid w:val="00967EF9"/>
    <w:rsid w:val="00970715"/>
    <w:rsid w:val="00972CA6"/>
    <w:rsid w:val="0099120A"/>
    <w:rsid w:val="0099357C"/>
    <w:rsid w:val="00995A0F"/>
    <w:rsid w:val="00995D09"/>
    <w:rsid w:val="009974AD"/>
    <w:rsid w:val="009A0135"/>
    <w:rsid w:val="009A7C11"/>
    <w:rsid w:val="009B22F8"/>
    <w:rsid w:val="009B7A82"/>
    <w:rsid w:val="009C096E"/>
    <w:rsid w:val="009C6A01"/>
    <w:rsid w:val="009C6A8F"/>
    <w:rsid w:val="009D32A2"/>
    <w:rsid w:val="009D4B90"/>
    <w:rsid w:val="009E2EAC"/>
    <w:rsid w:val="009E7C40"/>
    <w:rsid w:val="009F322A"/>
    <w:rsid w:val="009F620B"/>
    <w:rsid w:val="009F76B4"/>
    <w:rsid w:val="00A001BF"/>
    <w:rsid w:val="00A00351"/>
    <w:rsid w:val="00A05114"/>
    <w:rsid w:val="00A07F0F"/>
    <w:rsid w:val="00A1190A"/>
    <w:rsid w:val="00A21ABA"/>
    <w:rsid w:val="00A346B6"/>
    <w:rsid w:val="00A45EB1"/>
    <w:rsid w:val="00A46C2A"/>
    <w:rsid w:val="00A55A36"/>
    <w:rsid w:val="00A74129"/>
    <w:rsid w:val="00A9147A"/>
    <w:rsid w:val="00A91D03"/>
    <w:rsid w:val="00AA0A4C"/>
    <w:rsid w:val="00AB587A"/>
    <w:rsid w:val="00AC09CE"/>
    <w:rsid w:val="00AC2791"/>
    <w:rsid w:val="00AC76C8"/>
    <w:rsid w:val="00AC7AEC"/>
    <w:rsid w:val="00AD67EB"/>
    <w:rsid w:val="00AE10C9"/>
    <w:rsid w:val="00AE3ADA"/>
    <w:rsid w:val="00AE4F76"/>
    <w:rsid w:val="00AE5276"/>
    <w:rsid w:val="00AF154A"/>
    <w:rsid w:val="00B07EFD"/>
    <w:rsid w:val="00B10BB6"/>
    <w:rsid w:val="00B23383"/>
    <w:rsid w:val="00B251E3"/>
    <w:rsid w:val="00B25DD8"/>
    <w:rsid w:val="00B3289B"/>
    <w:rsid w:val="00B3410E"/>
    <w:rsid w:val="00B40DE3"/>
    <w:rsid w:val="00B437BF"/>
    <w:rsid w:val="00B67F11"/>
    <w:rsid w:val="00B72BE5"/>
    <w:rsid w:val="00B81917"/>
    <w:rsid w:val="00B95D9C"/>
    <w:rsid w:val="00BC09B2"/>
    <w:rsid w:val="00BC2B14"/>
    <w:rsid w:val="00BC3BDD"/>
    <w:rsid w:val="00BD0A1E"/>
    <w:rsid w:val="00BE3A09"/>
    <w:rsid w:val="00BF7815"/>
    <w:rsid w:val="00BF7882"/>
    <w:rsid w:val="00BF7988"/>
    <w:rsid w:val="00C0029E"/>
    <w:rsid w:val="00C05A3D"/>
    <w:rsid w:val="00C07721"/>
    <w:rsid w:val="00C111CF"/>
    <w:rsid w:val="00C14F65"/>
    <w:rsid w:val="00C20BF5"/>
    <w:rsid w:val="00C22B59"/>
    <w:rsid w:val="00C2391C"/>
    <w:rsid w:val="00C30B1B"/>
    <w:rsid w:val="00C41B2F"/>
    <w:rsid w:val="00C42377"/>
    <w:rsid w:val="00C55D55"/>
    <w:rsid w:val="00C56111"/>
    <w:rsid w:val="00C66D68"/>
    <w:rsid w:val="00C721BE"/>
    <w:rsid w:val="00C72370"/>
    <w:rsid w:val="00C72884"/>
    <w:rsid w:val="00C841A0"/>
    <w:rsid w:val="00C86F9E"/>
    <w:rsid w:val="00C90DD4"/>
    <w:rsid w:val="00C97080"/>
    <w:rsid w:val="00C97B5A"/>
    <w:rsid w:val="00CC28AB"/>
    <w:rsid w:val="00CC32BB"/>
    <w:rsid w:val="00CC3F5F"/>
    <w:rsid w:val="00CC43CA"/>
    <w:rsid w:val="00CD0669"/>
    <w:rsid w:val="00CD5591"/>
    <w:rsid w:val="00CE3B30"/>
    <w:rsid w:val="00CF7404"/>
    <w:rsid w:val="00D013D8"/>
    <w:rsid w:val="00D01F0A"/>
    <w:rsid w:val="00D159CE"/>
    <w:rsid w:val="00D303F1"/>
    <w:rsid w:val="00D32126"/>
    <w:rsid w:val="00D361BD"/>
    <w:rsid w:val="00D362AD"/>
    <w:rsid w:val="00D45AAF"/>
    <w:rsid w:val="00D6453E"/>
    <w:rsid w:val="00D67B72"/>
    <w:rsid w:val="00D8389C"/>
    <w:rsid w:val="00D93A3C"/>
    <w:rsid w:val="00D953F2"/>
    <w:rsid w:val="00DA0E0F"/>
    <w:rsid w:val="00DA7926"/>
    <w:rsid w:val="00DB1C06"/>
    <w:rsid w:val="00DB3236"/>
    <w:rsid w:val="00DC2719"/>
    <w:rsid w:val="00DD1388"/>
    <w:rsid w:val="00DD1A10"/>
    <w:rsid w:val="00DD2600"/>
    <w:rsid w:val="00DD5EAD"/>
    <w:rsid w:val="00DF1728"/>
    <w:rsid w:val="00E07604"/>
    <w:rsid w:val="00E11CB9"/>
    <w:rsid w:val="00E13674"/>
    <w:rsid w:val="00E23B25"/>
    <w:rsid w:val="00E254CA"/>
    <w:rsid w:val="00E26DC1"/>
    <w:rsid w:val="00E32047"/>
    <w:rsid w:val="00E33CD4"/>
    <w:rsid w:val="00E36201"/>
    <w:rsid w:val="00E4010B"/>
    <w:rsid w:val="00E57B55"/>
    <w:rsid w:val="00E57E5D"/>
    <w:rsid w:val="00E609DE"/>
    <w:rsid w:val="00E618CB"/>
    <w:rsid w:val="00E66CA0"/>
    <w:rsid w:val="00E93214"/>
    <w:rsid w:val="00EA3BCD"/>
    <w:rsid w:val="00EA56FC"/>
    <w:rsid w:val="00EC22A0"/>
    <w:rsid w:val="00ED059A"/>
    <w:rsid w:val="00ED64B4"/>
    <w:rsid w:val="00ED7252"/>
    <w:rsid w:val="00EE44C6"/>
    <w:rsid w:val="00EF04E7"/>
    <w:rsid w:val="00F0023B"/>
    <w:rsid w:val="00F003DC"/>
    <w:rsid w:val="00F07777"/>
    <w:rsid w:val="00F1331E"/>
    <w:rsid w:val="00F229FE"/>
    <w:rsid w:val="00F234EC"/>
    <w:rsid w:val="00F2617E"/>
    <w:rsid w:val="00F32312"/>
    <w:rsid w:val="00F331C6"/>
    <w:rsid w:val="00F37B47"/>
    <w:rsid w:val="00F562E5"/>
    <w:rsid w:val="00F85955"/>
    <w:rsid w:val="00F9561F"/>
    <w:rsid w:val="00FA69C0"/>
    <w:rsid w:val="00FB02E6"/>
    <w:rsid w:val="00FB3A84"/>
    <w:rsid w:val="00FB595E"/>
    <w:rsid w:val="00FB5D5B"/>
    <w:rsid w:val="00FB693E"/>
    <w:rsid w:val="00FC493D"/>
    <w:rsid w:val="00FD0303"/>
    <w:rsid w:val="00FD3434"/>
    <w:rsid w:val="00FD599C"/>
    <w:rsid w:val="00FE288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2A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377684">
      <w:bodyDiv w:val="1"/>
      <w:marLeft w:val="0"/>
      <w:marRight w:val="0"/>
      <w:marTop w:val="0"/>
      <w:marBottom w:val="0"/>
      <w:divBdr>
        <w:top w:val="none" w:sz="0" w:space="0" w:color="auto"/>
        <w:left w:val="none" w:sz="0" w:space="0" w:color="auto"/>
        <w:bottom w:val="none" w:sz="0" w:space="0" w:color="auto"/>
        <w:right w:val="none" w:sz="0" w:space="0" w:color="auto"/>
      </w:divBdr>
    </w:div>
    <w:div w:id="476149464">
      <w:bodyDiv w:val="1"/>
      <w:marLeft w:val="0"/>
      <w:marRight w:val="0"/>
      <w:marTop w:val="0"/>
      <w:marBottom w:val="0"/>
      <w:divBdr>
        <w:top w:val="none" w:sz="0" w:space="0" w:color="auto"/>
        <w:left w:val="none" w:sz="0" w:space="0" w:color="auto"/>
        <w:bottom w:val="none" w:sz="0" w:space="0" w:color="auto"/>
        <w:right w:val="none" w:sz="0" w:space="0" w:color="auto"/>
      </w:divBdr>
      <w:divsChild>
        <w:div w:id="984627231">
          <w:marLeft w:val="0"/>
          <w:marRight w:val="0"/>
          <w:marTop w:val="0"/>
          <w:marBottom w:val="0"/>
          <w:divBdr>
            <w:top w:val="none" w:sz="0" w:space="0" w:color="auto"/>
            <w:left w:val="none" w:sz="0" w:space="0" w:color="auto"/>
            <w:bottom w:val="none" w:sz="0" w:space="0" w:color="auto"/>
            <w:right w:val="none" w:sz="0" w:space="0" w:color="auto"/>
          </w:divBdr>
          <w:divsChild>
            <w:div w:id="48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846">
      <w:bodyDiv w:val="1"/>
      <w:marLeft w:val="0"/>
      <w:marRight w:val="0"/>
      <w:marTop w:val="0"/>
      <w:marBottom w:val="0"/>
      <w:divBdr>
        <w:top w:val="none" w:sz="0" w:space="0" w:color="auto"/>
        <w:left w:val="none" w:sz="0" w:space="0" w:color="auto"/>
        <w:bottom w:val="none" w:sz="0" w:space="0" w:color="auto"/>
        <w:right w:val="none" w:sz="0" w:space="0" w:color="auto"/>
      </w:divBdr>
    </w:div>
    <w:div w:id="805975129">
      <w:bodyDiv w:val="1"/>
      <w:marLeft w:val="0"/>
      <w:marRight w:val="0"/>
      <w:marTop w:val="0"/>
      <w:marBottom w:val="0"/>
      <w:divBdr>
        <w:top w:val="none" w:sz="0" w:space="0" w:color="auto"/>
        <w:left w:val="none" w:sz="0" w:space="0" w:color="auto"/>
        <w:bottom w:val="none" w:sz="0" w:space="0" w:color="auto"/>
        <w:right w:val="none" w:sz="0" w:space="0" w:color="auto"/>
      </w:divBdr>
      <w:divsChild>
        <w:div w:id="114831000">
          <w:marLeft w:val="0"/>
          <w:marRight w:val="0"/>
          <w:marTop w:val="0"/>
          <w:marBottom w:val="0"/>
          <w:divBdr>
            <w:top w:val="none" w:sz="0" w:space="0" w:color="auto"/>
            <w:left w:val="none" w:sz="0" w:space="0" w:color="auto"/>
            <w:bottom w:val="none" w:sz="0" w:space="0" w:color="auto"/>
            <w:right w:val="none" w:sz="0" w:space="0" w:color="auto"/>
          </w:divBdr>
        </w:div>
        <w:div w:id="129523602">
          <w:marLeft w:val="0"/>
          <w:marRight w:val="0"/>
          <w:marTop w:val="0"/>
          <w:marBottom w:val="0"/>
          <w:divBdr>
            <w:top w:val="none" w:sz="0" w:space="0" w:color="auto"/>
            <w:left w:val="none" w:sz="0" w:space="0" w:color="auto"/>
            <w:bottom w:val="none" w:sz="0" w:space="0" w:color="auto"/>
            <w:right w:val="none" w:sz="0" w:space="0" w:color="auto"/>
          </w:divBdr>
        </w:div>
        <w:div w:id="290600009">
          <w:marLeft w:val="0"/>
          <w:marRight w:val="0"/>
          <w:marTop w:val="0"/>
          <w:marBottom w:val="0"/>
          <w:divBdr>
            <w:top w:val="none" w:sz="0" w:space="0" w:color="auto"/>
            <w:left w:val="none" w:sz="0" w:space="0" w:color="auto"/>
            <w:bottom w:val="none" w:sz="0" w:space="0" w:color="auto"/>
            <w:right w:val="none" w:sz="0" w:space="0" w:color="auto"/>
          </w:divBdr>
        </w:div>
        <w:div w:id="554586145">
          <w:marLeft w:val="0"/>
          <w:marRight w:val="0"/>
          <w:marTop w:val="0"/>
          <w:marBottom w:val="0"/>
          <w:divBdr>
            <w:top w:val="none" w:sz="0" w:space="0" w:color="auto"/>
            <w:left w:val="none" w:sz="0" w:space="0" w:color="auto"/>
            <w:bottom w:val="none" w:sz="0" w:space="0" w:color="auto"/>
            <w:right w:val="none" w:sz="0" w:space="0" w:color="auto"/>
          </w:divBdr>
        </w:div>
        <w:div w:id="1861355361">
          <w:marLeft w:val="0"/>
          <w:marRight w:val="0"/>
          <w:marTop w:val="0"/>
          <w:marBottom w:val="0"/>
          <w:divBdr>
            <w:top w:val="none" w:sz="0" w:space="0" w:color="auto"/>
            <w:left w:val="none" w:sz="0" w:space="0" w:color="auto"/>
            <w:bottom w:val="none" w:sz="0" w:space="0" w:color="auto"/>
            <w:right w:val="none" w:sz="0" w:space="0" w:color="auto"/>
          </w:divBdr>
        </w:div>
      </w:divsChild>
    </w:div>
    <w:div w:id="1398744578">
      <w:bodyDiv w:val="1"/>
      <w:marLeft w:val="0"/>
      <w:marRight w:val="0"/>
      <w:marTop w:val="0"/>
      <w:marBottom w:val="0"/>
      <w:divBdr>
        <w:top w:val="none" w:sz="0" w:space="0" w:color="auto"/>
        <w:left w:val="none" w:sz="0" w:space="0" w:color="auto"/>
        <w:bottom w:val="none" w:sz="0" w:space="0" w:color="auto"/>
        <w:right w:val="none" w:sz="0" w:space="0" w:color="auto"/>
      </w:divBdr>
    </w:div>
    <w:div w:id="15731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644</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following are our questions regarding the RFP: </vt:lpstr>
    </vt:vector>
  </TitlesOfParts>
  <Company>Administrative Office of the Courts</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 </dc:title>
  <dc:subject/>
  <dc:creator>Administrative Office of the Courts</dc:creator>
  <cp:keywords/>
  <dc:description/>
  <cp:lastModifiedBy>Ron Bacurin 10-1</cp:lastModifiedBy>
  <cp:revision>7</cp:revision>
  <cp:lastPrinted>2011-01-14T02:13:00Z</cp:lastPrinted>
  <dcterms:created xsi:type="dcterms:W3CDTF">2011-01-12T23:40:00Z</dcterms:created>
  <dcterms:modified xsi:type="dcterms:W3CDTF">2011-01-14T02:13:00Z</dcterms:modified>
</cp:coreProperties>
</file>