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840A1" w14:textId="44656B5C" w:rsidR="0081605E" w:rsidRDefault="00EB20AD" w:rsidP="0081605E">
      <w:pPr>
        <w:jc w:val="center"/>
        <w:rPr>
          <w:b/>
          <w:szCs w:val="24"/>
        </w:rPr>
      </w:pPr>
      <w:r>
        <w:rPr>
          <w:b/>
          <w:szCs w:val="24"/>
        </w:rPr>
        <w:t>TRANSWORLD SYSTEMS INC.</w:t>
      </w:r>
      <w:r w:rsidR="004D5D5D">
        <w:rPr>
          <w:b/>
          <w:szCs w:val="24"/>
        </w:rPr>
        <w:t xml:space="preserve"> </w:t>
      </w:r>
      <w:r w:rsidR="0081605E">
        <w:rPr>
          <w:b/>
          <w:szCs w:val="24"/>
        </w:rPr>
        <w:t xml:space="preserve">MASTER AGREEMENT </w:t>
      </w:r>
      <w:r w:rsidR="002E0265">
        <w:rPr>
          <w:b/>
          <w:szCs w:val="24"/>
        </w:rPr>
        <w:t>MA-201</w:t>
      </w:r>
      <w:r w:rsidR="0020584B">
        <w:rPr>
          <w:b/>
          <w:szCs w:val="24"/>
        </w:rPr>
        <w:t>8-</w:t>
      </w:r>
      <w:r w:rsidR="00BA295D">
        <w:rPr>
          <w:b/>
          <w:szCs w:val="24"/>
        </w:rPr>
        <w:t>2</w:t>
      </w:r>
      <w:r>
        <w:rPr>
          <w:b/>
          <w:szCs w:val="24"/>
        </w:rPr>
        <w:t>1</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11723546"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EB20AD">
        <w:rPr>
          <w:szCs w:val="24"/>
        </w:rPr>
        <w:t xml:space="preserve">Transworld Systems.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A00485"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A00485"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3D09A1B2" w14:textId="138E2676" w:rsidR="004D5D5D" w:rsidRDefault="00EB20AD" w:rsidP="00D04323">
            <w:pPr>
              <w:pStyle w:val="ListParagraph"/>
              <w:ind w:left="0"/>
              <w:rPr>
                <w:b/>
                <w:szCs w:val="24"/>
              </w:rPr>
            </w:pPr>
            <w:r>
              <w:rPr>
                <w:b/>
                <w:szCs w:val="24"/>
              </w:rPr>
              <w:t>TRANSWORLD SYSTEMS</w:t>
            </w:r>
          </w:p>
          <w:p w14:paraId="5E47637C" w14:textId="3BF3C2BE" w:rsidR="00B34411" w:rsidRPr="00B34411" w:rsidRDefault="00B34411" w:rsidP="00B34411">
            <w:pPr>
              <w:pStyle w:val="Default"/>
              <w:rPr>
                <w:rFonts w:ascii="Times New Roman" w:hAnsi="Times New Roman" w:cs="Times New Roman"/>
                <w:color w:val="FF0000"/>
              </w:rPr>
            </w:pPr>
            <w:r w:rsidRPr="00B34411">
              <w:rPr>
                <w:rFonts w:ascii="Times New Roman" w:hAnsi="Times New Roman" w:cs="Times New Roman"/>
                <w:color w:val="FF0000"/>
              </w:rPr>
              <w:t xml:space="preserve">Barbara Lucas </w:t>
            </w:r>
          </w:p>
          <w:p w14:paraId="73C07EFC" w14:textId="5B69D97B" w:rsidR="00B34411" w:rsidRPr="00B34411" w:rsidRDefault="00B34411" w:rsidP="00B34411">
            <w:pPr>
              <w:rPr>
                <w:color w:val="FF0000"/>
                <w:szCs w:val="24"/>
              </w:rPr>
            </w:pPr>
            <w:r>
              <w:rPr>
                <w:color w:val="FF0000"/>
                <w:szCs w:val="24"/>
              </w:rPr>
              <w:t>(</w:t>
            </w:r>
            <w:r w:rsidRPr="00B34411">
              <w:rPr>
                <w:color w:val="FF0000"/>
                <w:szCs w:val="24"/>
              </w:rPr>
              <w:t>540</w:t>
            </w:r>
            <w:r>
              <w:rPr>
                <w:color w:val="FF0000"/>
                <w:szCs w:val="24"/>
              </w:rPr>
              <w:t>)</w:t>
            </w:r>
            <w:r w:rsidRPr="00B34411">
              <w:rPr>
                <w:color w:val="FF0000"/>
                <w:szCs w:val="24"/>
              </w:rPr>
              <w:t xml:space="preserve"> 848-1556</w:t>
            </w:r>
          </w:p>
          <w:p w14:paraId="3AD47BD0" w14:textId="77777777" w:rsidR="00B34411" w:rsidRPr="00B34411" w:rsidRDefault="00A00485" w:rsidP="00B34411">
            <w:pPr>
              <w:autoSpaceDE w:val="0"/>
              <w:autoSpaceDN w:val="0"/>
              <w:adjustRightInd w:val="0"/>
              <w:rPr>
                <w:bCs/>
                <w:color w:val="FF0000"/>
                <w:szCs w:val="24"/>
              </w:rPr>
            </w:pPr>
            <w:hyperlink r:id="rId9" w:history="1">
              <w:r w:rsidR="00B34411" w:rsidRPr="00B34411">
                <w:rPr>
                  <w:rStyle w:val="Hyperlink"/>
                  <w:bCs/>
                  <w:color w:val="FF0000"/>
                  <w:szCs w:val="24"/>
                </w:rPr>
                <w:t>Barb.lucas@accountcontrol.com</w:t>
              </w:r>
            </w:hyperlink>
          </w:p>
          <w:p w14:paraId="44D5DDBD" w14:textId="559C0A63" w:rsidR="00D04323" w:rsidRDefault="00D04323" w:rsidP="00D04323">
            <w:pPr>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74A50AA3" w:rsidR="00576E8C" w:rsidRPr="00576E8C" w:rsidRDefault="0081605E" w:rsidP="00EB20AD">
            <w:pPr>
              <w:pStyle w:val="ListParagraph"/>
              <w:ind w:left="0"/>
              <w:rPr>
                <w:i/>
                <w:szCs w:val="24"/>
              </w:rPr>
            </w:pPr>
            <w:r w:rsidRPr="009C739B">
              <w:rPr>
                <w:i/>
                <w:szCs w:val="24"/>
              </w:rPr>
              <w:t>MA-201</w:t>
            </w:r>
            <w:r w:rsidR="003C0793">
              <w:rPr>
                <w:i/>
                <w:szCs w:val="24"/>
              </w:rPr>
              <w:t>8-</w:t>
            </w:r>
            <w:r w:rsidR="00BA295D">
              <w:rPr>
                <w:i/>
                <w:szCs w:val="24"/>
              </w:rPr>
              <w:t>2</w:t>
            </w:r>
            <w:r w:rsidR="00EB20AD">
              <w:rPr>
                <w:i/>
                <w:szCs w:val="24"/>
              </w:rPr>
              <w:t>1</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460168C0"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1F74B0">
        <w:rPr>
          <w:szCs w:val="24"/>
        </w:rPr>
        <w:t>greement.</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1430955B" w:rsidR="00991675" w:rsidRPr="006D593E"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535DEACC" w14:textId="44160377" w:rsidR="006D593E" w:rsidRPr="00D8261C" w:rsidRDefault="006D593E" w:rsidP="006D593E">
      <w:pPr>
        <w:pStyle w:val="BodyText"/>
        <w:keepNext/>
        <w:numPr>
          <w:ilvl w:val="0"/>
          <w:numId w:val="6"/>
        </w:numPr>
        <w:spacing w:before="240" w:after="120" w:line="240" w:lineRule="auto"/>
        <w:ind w:left="360"/>
        <w:rPr>
          <w:b/>
          <w:color w:val="FF0000"/>
          <w:szCs w:val="24"/>
        </w:rPr>
      </w:pPr>
      <w:r w:rsidRPr="00D8261C">
        <w:rPr>
          <w:b/>
          <w:color w:val="FF0000"/>
          <w:szCs w:val="24"/>
        </w:rPr>
        <w:t xml:space="preserve">Create Purchase Order </w:t>
      </w:r>
    </w:p>
    <w:p w14:paraId="55056601" w14:textId="58708681" w:rsidR="006D593E" w:rsidRPr="00D8261C" w:rsidRDefault="006D593E" w:rsidP="006D593E">
      <w:pPr>
        <w:pStyle w:val="BodyText"/>
        <w:spacing w:before="240" w:after="120" w:line="240" w:lineRule="auto"/>
        <w:ind w:left="360"/>
        <w:jc w:val="both"/>
        <w:rPr>
          <w:color w:val="FF0000"/>
          <w:szCs w:val="24"/>
        </w:rPr>
      </w:pPr>
      <w:r w:rsidRPr="00D8261C">
        <w:rPr>
          <w:color w:val="FF0000"/>
        </w:rPr>
        <w:t xml:space="preserve">After the Participating Agreement has been signed by the court and the vendor, the court should create a purchase order in the Phoenix system to place an actual order for the collections services and to encumber the funds. The Header Text of the purchase order should include language such as “This purchase order is for the purpose of ordering collections services against the Judicial Council Master Agreement No. </w:t>
      </w:r>
      <w:r w:rsidRPr="00D8261C">
        <w:rPr>
          <w:color w:val="FF0000"/>
          <w:szCs w:val="24"/>
        </w:rPr>
        <w:t xml:space="preserve">MA-2018-21 </w:t>
      </w:r>
      <w:r w:rsidRPr="00D8261C">
        <w:rPr>
          <w:color w:val="FF0000"/>
        </w:rPr>
        <w:t>and the Participating Agreement signed by the court on ____________.” The purchase order must indicate the dates and times that the collections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10"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1"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081947F6" w14:textId="77777777" w:rsidR="00694203" w:rsidRPr="00694203" w:rsidRDefault="00694203" w:rsidP="00694203">
      <w:pPr>
        <w:pStyle w:val="ListParagraph"/>
        <w:spacing w:line="300" w:lineRule="atLeast"/>
        <w:ind w:left="360"/>
        <w:jc w:val="both"/>
        <w:rPr>
          <w:rFonts w:asciiTheme="minorHAnsi" w:eastAsia="Times New Roman" w:hAnsiTheme="minorHAnsi" w:cstheme="minorHAnsi"/>
          <w:szCs w:val="24"/>
        </w:rPr>
      </w:pPr>
      <w:r w:rsidRPr="00694203">
        <w:rPr>
          <w:rFonts w:asciiTheme="minorHAnsi" w:eastAsia="Times New Roman" w:hAnsiTheme="minorHAnsi" w:cstheme="minorHAnsi"/>
          <w:szCs w:val="24"/>
          <w:u w:val="single"/>
        </w:rPr>
        <w:t>Fees.</w:t>
      </w:r>
      <w:r w:rsidRPr="00694203">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694203">
        <w:rPr>
          <w:rFonts w:asciiTheme="minorHAnsi" w:eastAsia="Times New Roman" w:hAnsiTheme="minorHAnsi" w:cstheme="minorHAnsi"/>
          <w:strike/>
          <w:color w:val="FF0000"/>
          <w:szCs w:val="24"/>
        </w:rPr>
        <w:t xml:space="preserve">For victim restitution, Contractor’s </w:t>
      </w:r>
      <w:r w:rsidRPr="00694203">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694203">
        <w:rPr>
          <w:rFonts w:asciiTheme="minorHAnsi" w:eastAsia="Times New Roman" w:hAnsiTheme="minorHAnsi" w:cstheme="minorHAnsi"/>
          <w:color w:val="FF0000"/>
          <w:szCs w:val="24"/>
        </w:rPr>
        <w:t xml:space="preserve"> </w:t>
      </w:r>
      <w:r w:rsidRPr="00694203">
        <w:rPr>
          <w:rFonts w:asciiTheme="minorHAnsi" w:eastAsia="Times New Roman" w:hAnsiTheme="minorHAnsi" w:cstheme="minorHAnsi"/>
          <w:szCs w:val="24"/>
        </w:rPr>
        <w:t>For cases with a restitution order, Contractor will not be entitled to invoice a Participating Entity</w:t>
      </w:r>
      <w:r w:rsidRPr="00694203">
        <w:rPr>
          <w:rFonts w:asciiTheme="minorHAnsi" w:eastAsia="Times New Roman" w:hAnsiTheme="minorHAnsi" w:cstheme="minorHAnsi"/>
          <w:strike/>
          <w:szCs w:val="24"/>
        </w:rPr>
        <w:t xml:space="preserve"> </w:t>
      </w:r>
      <w:r w:rsidRPr="00694203">
        <w:rPr>
          <w:rFonts w:asciiTheme="minorHAnsi" w:eastAsia="Times New Roman" w:hAnsiTheme="minorHAnsi" w:cstheme="minorHAnsi"/>
          <w:strike/>
          <w:color w:val="FF0000"/>
          <w:szCs w:val="24"/>
        </w:rPr>
        <w:t>for</w:t>
      </w:r>
      <w:r w:rsidRPr="00694203">
        <w:rPr>
          <w:rFonts w:asciiTheme="minorHAnsi" w:eastAsia="Times New Roman" w:hAnsiTheme="minorHAnsi" w:cstheme="minorHAnsi"/>
          <w:color w:val="FF0000"/>
          <w:szCs w:val="24"/>
        </w:rPr>
        <w:t xml:space="preserve"> </w:t>
      </w:r>
      <w:r w:rsidRPr="00694203">
        <w:rPr>
          <w:rFonts w:asciiTheme="minorHAnsi" w:eastAsia="Times New Roman" w:hAnsiTheme="minorHAnsi" w:cstheme="minorHAnsi"/>
          <w:strike/>
          <w:color w:val="FF0000"/>
          <w:szCs w:val="24"/>
        </w:rPr>
        <w:t xml:space="preserve">this fee </w:t>
      </w:r>
      <w:r w:rsidRPr="00694203">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6B25710C" w14:textId="77777777" w:rsidR="00522232" w:rsidRPr="00E253C0" w:rsidRDefault="00E253C0" w:rsidP="00522232">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522232" w:rsidRPr="00B85E86">
        <w:rPr>
          <w:rFonts w:asciiTheme="minorHAnsi" w:eastAsia="Times New Roman" w:hAnsiTheme="minorHAnsi" w:cstheme="minorHAnsi"/>
          <w:strike/>
          <w:color w:val="FF0000"/>
          <w:szCs w:val="24"/>
        </w:rPr>
        <w:t>and</w:t>
      </w:r>
      <w:r w:rsidR="00522232">
        <w:rPr>
          <w:rFonts w:asciiTheme="minorHAnsi" w:eastAsia="Times New Roman" w:hAnsiTheme="minorHAnsi" w:cstheme="minorHAnsi"/>
          <w:szCs w:val="24"/>
        </w:rPr>
        <w:t xml:space="preserve"> </w:t>
      </w:r>
      <w:r w:rsidR="00522232" w:rsidRPr="00E253C0">
        <w:rPr>
          <w:rFonts w:asciiTheme="minorHAnsi" w:eastAsia="Times New Roman" w:hAnsiTheme="minorHAnsi" w:cstheme="minorHAnsi"/>
          <w:szCs w:val="24"/>
        </w:rPr>
        <w:t>civil assessmen</w:t>
      </w:r>
      <w:r w:rsidR="00522232">
        <w:rPr>
          <w:rFonts w:asciiTheme="minorHAnsi" w:eastAsia="Times New Roman" w:hAnsiTheme="minorHAnsi" w:cstheme="minorHAnsi"/>
          <w:szCs w:val="24"/>
        </w:rPr>
        <w:t xml:space="preserve">t, </w:t>
      </w:r>
      <w:bookmarkStart w:id="0" w:name="_Hlk90477133"/>
      <w:r w:rsidR="00522232" w:rsidRPr="00F916E5">
        <w:rPr>
          <w:rFonts w:asciiTheme="minorHAnsi" w:eastAsia="Times New Roman" w:hAnsiTheme="minorHAnsi" w:cstheme="minorHAnsi"/>
          <w:color w:val="FF0000"/>
          <w:szCs w:val="24"/>
        </w:rPr>
        <w:t>and order restitution order:</w:t>
      </w:r>
      <w:bookmarkEnd w:id="0"/>
    </w:p>
    <w:p w14:paraId="2EF712F4" w14:textId="166ED631"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p>
    <w:p w14:paraId="579ED7B5" w14:textId="77777777" w:rsidR="00E253C0" w:rsidRPr="00E253C0" w:rsidRDefault="00E253C0" w:rsidP="00E253C0">
      <w:pPr>
        <w:spacing w:after="120" w:line="300" w:lineRule="atLeast"/>
        <w:ind w:left="216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7ED681E6" w14:textId="77777777" w:rsidR="00D3218A" w:rsidRPr="00E253C0" w:rsidRDefault="00D3218A" w:rsidP="00D3218A">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06425390" w14:textId="77777777" w:rsidR="00D3218A" w:rsidRPr="00E253C0" w:rsidRDefault="00D3218A" w:rsidP="00D3218A">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w:t>
      </w:r>
      <w:proofErr w:type="gramStart"/>
      <w:r w:rsidRPr="00E253C0">
        <w:rPr>
          <w:rFonts w:asciiTheme="minorHAnsi" w:eastAsia="Times New Roman" w:hAnsiTheme="minorHAnsi" w:cstheme="minorHAnsi"/>
          <w:szCs w:val="24"/>
        </w:rPr>
        <w:t>referrals, and</w:t>
      </w:r>
      <w:proofErr w:type="gramEnd"/>
      <w:r w:rsidRPr="00E253C0">
        <w:rPr>
          <w:rFonts w:asciiTheme="minorHAnsi" w:eastAsia="Times New Roman" w:hAnsiTheme="minorHAnsi" w:cstheme="minorHAnsi"/>
          <w:szCs w:val="24"/>
        </w:rPr>
        <w:t xml:space="preserve">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225A2884"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82315D">
        <w:rPr>
          <w:rFonts w:asciiTheme="minorHAnsi" w:eastAsia="Times New Roman" w:hAnsiTheme="minorHAnsi" w:cstheme="minorHAnsi"/>
          <w:szCs w:val="24"/>
        </w:rPr>
        <w:t xml:space="preserve">, </w:t>
      </w:r>
      <w:r w:rsidR="0082315D" w:rsidRPr="00F62872">
        <w:rPr>
          <w:rFonts w:asciiTheme="minorHAnsi" w:eastAsia="Times New Roman" w:hAnsiTheme="minorHAnsi" w:cstheme="minorHAnsi"/>
          <w:color w:val="FF0000"/>
          <w:szCs w:val="24"/>
        </w:rPr>
        <w:t xml:space="preserve">amount applied to restitution order.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71EE18ED"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0B0221"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1FE4A06D" w:rsidR="001B5E52" w:rsidRPr="001B5E52" w:rsidRDefault="000B0221" w:rsidP="001B5E52">
      <w:pPr>
        <w:pStyle w:val="ListParagraph"/>
        <w:ind w:left="360" w:firstLine="360"/>
        <w:jc w:val="both"/>
        <w:rPr>
          <w:rFonts w:asciiTheme="minorHAnsi" w:hAnsiTheme="minorHAnsi" w:cstheme="minorHAnsi"/>
          <w:b/>
        </w:rPr>
      </w:pPr>
      <w:r w:rsidRPr="000B0221">
        <w:rPr>
          <w:rFonts w:asciiTheme="minorHAnsi" w:hAnsiTheme="minorHAnsi" w:cstheme="minorHAnsi"/>
          <w:b/>
          <w:color w:val="FF0000"/>
        </w:rPr>
        <w:t>M</w:t>
      </w:r>
      <w:r w:rsidR="001B5E52" w:rsidRPr="001B5E52">
        <w:rPr>
          <w:rFonts w:asciiTheme="minorHAnsi" w:hAnsiTheme="minorHAnsi" w:cstheme="minorHAnsi"/>
          <w:b/>
        </w:rPr>
        <w:t>.</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1E71211E"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and </w:t>
      </w:r>
      <w:r w:rsidR="005F0806" w:rsidRPr="00145F7E">
        <w:rPr>
          <w:rFonts w:asciiTheme="minorHAnsi" w:eastAsia="Times New Roman" w:hAnsiTheme="minorHAnsi" w:cstheme="minorHAnsi"/>
          <w:color w:val="FF0000"/>
          <w:szCs w:val="24"/>
        </w:rPr>
        <w:t xml:space="preserve">8) the new civil assessment </w:t>
      </w:r>
      <w:proofErr w:type="gramStart"/>
      <w:r w:rsidR="005F0806" w:rsidRPr="00145F7E">
        <w:rPr>
          <w:rFonts w:asciiTheme="minorHAnsi" w:eastAsia="Times New Roman" w:hAnsiTheme="minorHAnsi" w:cstheme="minorHAnsi"/>
          <w:color w:val="FF0000"/>
          <w:szCs w:val="24"/>
        </w:rPr>
        <w:t>owed</w:t>
      </w:r>
      <w:r w:rsidR="001139EF">
        <w:rPr>
          <w:rFonts w:asciiTheme="minorHAnsi" w:eastAsia="Times New Roman" w:hAnsiTheme="minorHAnsi" w:cstheme="minorHAnsi"/>
          <w:color w:val="FF0000"/>
          <w:szCs w:val="24"/>
        </w:rPr>
        <w:t>;</w:t>
      </w:r>
      <w:r w:rsidR="005F0806" w:rsidRPr="00145F7E">
        <w:rPr>
          <w:rFonts w:asciiTheme="minorHAnsi" w:eastAsia="Times New Roman" w:hAnsiTheme="minorHAnsi" w:cstheme="minorHAnsi"/>
          <w:color w:val="FF0000"/>
          <w:szCs w:val="24"/>
        </w:rPr>
        <w:t xml:space="preserve">  9</w:t>
      </w:r>
      <w:proofErr w:type="gramEnd"/>
      <w:r w:rsidR="005F0806" w:rsidRPr="00145F7E">
        <w:rPr>
          <w:rFonts w:asciiTheme="minorHAnsi" w:eastAsia="Times New Roman" w:hAnsiTheme="minorHAnsi" w:cstheme="minorHAnsi"/>
          <w:color w:val="FF0000"/>
          <w:szCs w:val="24"/>
        </w:rPr>
        <w:t xml:space="preserve">) </w:t>
      </w:r>
      <w:r w:rsidR="005F0806" w:rsidRPr="00145F7E">
        <w:rPr>
          <w:rFonts w:eastAsia="Times New Roman"/>
          <w:color w:val="FF0000"/>
        </w:rPr>
        <w:t>original restitution order owed; and 10) the new restitution order owed.</w:t>
      </w:r>
    </w:p>
    <w:p w14:paraId="0E32F137" w14:textId="7817F522" w:rsidR="001B5E52" w:rsidRDefault="000B0221" w:rsidP="001B5E52">
      <w:pPr>
        <w:pStyle w:val="ListParagraph"/>
        <w:ind w:left="360" w:firstLine="360"/>
        <w:jc w:val="both"/>
        <w:rPr>
          <w:rFonts w:asciiTheme="minorHAnsi" w:hAnsiTheme="minorHAnsi" w:cstheme="minorHAnsi"/>
          <w:b/>
        </w:rPr>
      </w:pPr>
      <w:r w:rsidRPr="000B0221">
        <w:rPr>
          <w:rFonts w:asciiTheme="minorHAnsi" w:hAnsiTheme="minorHAnsi" w:cstheme="minorHAnsi"/>
          <w:b/>
          <w:color w:val="FF0000"/>
        </w:rPr>
        <w:t>N</w:t>
      </w:r>
      <w:r w:rsidR="00397637" w:rsidRPr="000B0221">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791CA3B3" w14:textId="4CBC5EE9" w:rsidR="00397637" w:rsidRDefault="00397637" w:rsidP="00397637">
      <w:pPr>
        <w:spacing w:after="120" w:line="300" w:lineRule="atLeast"/>
        <w:ind w:left="1440"/>
        <w:contextualSpacing/>
        <w:jc w:val="both"/>
        <w:rPr>
          <w:rFonts w:asciiTheme="minorHAnsi" w:eastAsia="Times New Roman" w:hAnsiTheme="minorHAnsi" w:cstheme="minorHAnsi"/>
          <w:szCs w:val="24"/>
        </w:rPr>
      </w:pPr>
      <w:r w:rsidRPr="00397637">
        <w:rPr>
          <w:rFonts w:asciiTheme="minorHAnsi" w:eastAsia="Times New Roman" w:hAnsiTheme="minorHAnsi" w:cstheme="minorHAnsi"/>
          <w:szCs w:val="24"/>
        </w:rPr>
        <w:lastRenderedPageBreak/>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The account status report will include, as applicable, 1) the debtor’s name (sorted by last name); 2) case number; 3) referral; 4) beginning balance; 5) total payments and adjustments; and 6) the current balance. </w:t>
      </w:r>
      <w:r w:rsidR="009217D1" w:rsidRPr="00145F7E">
        <w:rPr>
          <w:rFonts w:asciiTheme="minorHAnsi" w:eastAsia="Times New Roman" w:hAnsiTheme="minorHAnsi" w:cstheme="minorHAnsi"/>
          <w:color w:val="FF0000"/>
          <w:szCs w:val="24"/>
        </w:rPr>
        <w:t>The account status report will provide subtotals for bail and/or fine, civil assessment, and restitution order, as well as the total collections summary.</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63B36866" w:rsidR="00247146" w:rsidRDefault="000B0221" w:rsidP="00247146">
      <w:pPr>
        <w:pStyle w:val="ListParagraph"/>
        <w:ind w:left="360" w:firstLine="360"/>
        <w:jc w:val="both"/>
        <w:rPr>
          <w:rFonts w:asciiTheme="minorHAnsi" w:hAnsiTheme="minorHAnsi" w:cstheme="minorHAnsi"/>
          <w:b/>
        </w:rPr>
      </w:pPr>
      <w:r w:rsidRPr="000B0221">
        <w:rPr>
          <w:rFonts w:asciiTheme="minorHAnsi" w:hAnsiTheme="minorHAnsi" w:cstheme="minorHAnsi"/>
          <w:b/>
          <w:color w:val="FF0000"/>
        </w:rPr>
        <w:t>O</w:t>
      </w:r>
      <w:r w:rsidR="00247146" w:rsidRPr="000B0221">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7A848665" w:rsidR="008D426D" w:rsidRPr="008D426D" w:rsidRDefault="000B0221" w:rsidP="008D426D">
      <w:pPr>
        <w:pStyle w:val="ListParagraph"/>
        <w:ind w:left="360" w:firstLine="360"/>
        <w:jc w:val="both"/>
        <w:rPr>
          <w:rFonts w:asciiTheme="minorHAnsi" w:hAnsiTheme="minorHAnsi" w:cstheme="minorHAnsi"/>
          <w:b/>
        </w:rPr>
      </w:pPr>
      <w:r w:rsidRPr="000B0221">
        <w:rPr>
          <w:rFonts w:asciiTheme="minorHAnsi" w:hAnsiTheme="minorHAnsi" w:cstheme="minorHAnsi"/>
          <w:b/>
          <w:color w:val="FF0000"/>
        </w:rPr>
        <w:t>P</w:t>
      </w:r>
      <w:r w:rsidR="008D426D" w:rsidRPr="000B0221">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08ADD7A5" w:rsidR="008D426D" w:rsidRDefault="000B0221" w:rsidP="008D426D">
      <w:pPr>
        <w:pStyle w:val="ListParagraph"/>
        <w:ind w:left="360" w:firstLine="360"/>
        <w:jc w:val="both"/>
        <w:rPr>
          <w:rFonts w:asciiTheme="minorHAnsi" w:hAnsiTheme="minorHAnsi" w:cstheme="minorHAnsi"/>
          <w:b/>
        </w:rPr>
      </w:pPr>
      <w:r w:rsidRPr="000B0221">
        <w:rPr>
          <w:rFonts w:asciiTheme="minorHAnsi" w:hAnsiTheme="minorHAnsi" w:cstheme="minorHAnsi"/>
          <w:b/>
          <w:color w:val="FF0000"/>
        </w:rPr>
        <w:t>Q.</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2"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3"/>
      <w:footerReference w:type="default" r:id="rId14"/>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3AE7" w14:textId="77777777" w:rsidR="00A00485" w:rsidRDefault="00A00485" w:rsidP="00E95B5C">
      <w:r>
        <w:separator/>
      </w:r>
    </w:p>
  </w:endnote>
  <w:endnote w:type="continuationSeparator" w:id="0">
    <w:p w14:paraId="58E6A3F9" w14:textId="77777777" w:rsidR="00A00485" w:rsidRDefault="00A00485"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1F74B0">
              <w:rPr>
                <w:bCs/>
                <w:i/>
                <w:noProof/>
                <w:sz w:val="20"/>
              </w:rPr>
              <w:t>9</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1F74B0">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9F23" w14:textId="77777777" w:rsidR="00A00485" w:rsidRDefault="00A00485" w:rsidP="00E95B5C">
      <w:r>
        <w:separator/>
      </w:r>
    </w:p>
  </w:footnote>
  <w:footnote w:type="continuationSeparator" w:id="0">
    <w:p w14:paraId="5960765F" w14:textId="77777777" w:rsidR="00A00485" w:rsidRDefault="00A00485"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63C52" w14:textId="0DF1E4A7"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BA295D">
      <w:rPr>
        <w:i/>
        <w:sz w:val="20"/>
      </w:rPr>
      <w:t>2</w:t>
    </w:r>
    <w:r w:rsidR="00EB20AD">
      <w:rPr>
        <w:i/>
        <w:sz w:val="20"/>
      </w:rPr>
      <w:t>1</w:t>
    </w:r>
  </w:p>
  <w:p w14:paraId="56F8FC3E" w14:textId="5B342D4F" w:rsidR="000D3473" w:rsidRDefault="00EB20AD" w:rsidP="000D3473">
    <w:pPr>
      <w:rPr>
        <w:i/>
        <w:sz w:val="20"/>
      </w:rPr>
    </w:pPr>
    <w:r>
      <w:rPr>
        <w:i/>
        <w:sz w:val="20"/>
      </w:rPr>
      <w:t>Transworld Systems</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abstractNumId w:val="13"/>
  </w:num>
  <w:num w:numId="2">
    <w:abstractNumId w:val="20"/>
  </w:num>
  <w:num w:numId="3">
    <w:abstractNumId w:val="27"/>
  </w:num>
  <w:num w:numId="4">
    <w:abstractNumId w:val="10"/>
  </w:num>
  <w:num w:numId="5">
    <w:abstractNumId w:val="39"/>
  </w:num>
  <w:num w:numId="6">
    <w:abstractNumId w:val="4"/>
  </w:num>
  <w:num w:numId="7">
    <w:abstractNumId w:val="40"/>
  </w:num>
  <w:num w:numId="8">
    <w:abstractNumId w:val="36"/>
  </w:num>
  <w:num w:numId="9">
    <w:abstractNumId w:val="3"/>
  </w:num>
  <w:num w:numId="10">
    <w:abstractNumId w:val="5"/>
  </w:num>
  <w:num w:numId="11">
    <w:abstractNumId w:val="29"/>
  </w:num>
  <w:num w:numId="12">
    <w:abstractNumId w:val="35"/>
  </w:num>
  <w:num w:numId="13">
    <w:abstractNumId w:val="6"/>
  </w:num>
  <w:num w:numId="14">
    <w:abstractNumId w:val="26"/>
  </w:num>
  <w:num w:numId="15">
    <w:abstractNumId w:val="23"/>
  </w:num>
  <w:num w:numId="16">
    <w:abstractNumId w:val="12"/>
  </w:num>
  <w:num w:numId="17">
    <w:abstractNumId w:val="44"/>
  </w:num>
  <w:num w:numId="18">
    <w:abstractNumId w:val="34"/>
  </w:num>
  <w:num w:numId="19">
    <w:abstractNumId w:val="30"/>
  </w:num>
  <w:num w:numId="20">
    <w:abstractNumId w:val="9"/>
  </w:num>
  <w:num w:numId="21">
    <w:abstractNumId w:val="0"/>
  </w:num>
  <w:num w:numId="22">
    <w:abstractNumId w:val="17"/>
  </w:num>
  <w:num w:numId="23">
    <w:abstractNumId w:val="28"/>
  </w:num>
  <w:num w:numId="24">
    <w:abstractNumId w:val="15"/>
  </w:num>
  <w:num w:numId="25">
    <w:abstractNumId w:val="19"/>
  </w:num>
  <w:num w:numId="26">
    <w:abstractNumId w:val="16"/>
  </w:num>
  <w:num w:numId="27">
    <w:abstractNumId w:val="37"/>
  </w:num>
  <w:num w:numId="28">
    <w:abstractNumId w:val="11"/>
  </w:num>
  <w:num w:numId="29">
    <w:abstractNumId w:val="33"/>
  </w:num>
  <w:num w:numId="30">
    <w:abstractNumId w:val="18"/>
  </w:num>
  <w:num w:numId="31">
    <w:abstractNumId w:val="25"/>
  </w:num>
  <w:num w:numId="32">
    <w:abstractNumId w:val="1"/>
  </w:num>
  <w:num w:numId="33">
    <w:abstractNumId w:val="7"/>
  </w:num>
  <w:num w:numId="34">
    <w:abstractNumId w:val="22"/>
  </w:num>
  <w:num w:numId="35">
    <w:abstractNumId w:val="41"/>
  </w:num>
  <w:num w:numId="36">
    <w:abstractNumId w:val="31"/>
  </w:num>
  <w:num w:numId="37">
    <w:abstractNumId w:val="14"/>
  </w:num>
  <w:num w:numId="38">
    <w:abstractNumId w:val="32"/>
  </w:num>
  <w:num w:numId="39">
    <w:abstractNumId w:val="2"/>
  </w:num>
  <w:num w:numId="40">
    <w:abstractNumId w:val="43"/>
  </w:num>
  <w:num w:numId="41">
    <w:abstractNumId w:val="8"/>
  </w:num>
  <w:num w:numId="42">
    <w:abstractNumId w:val="38"/>
  </w:num>
  <w:num w:numId="43">
    <w:abstractNumId w:val="42"/>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87FCA"/>
    <w:rsid w:val="000B0221"/>
    <w:rsid w:val="000B1EC1"/>
    <w:rsid w:val="000B24B1"/>
    <w:rsid w:val="000B709E"/>
    <w:rsid w:val="000C4A5B"/>
    <w:rsid w:val="000D0614"/>
    <w:rsid w:val="000D3473"/>
    <w:rsid w:val="000E2C3A"/>
    <w:rsid w:val="001012B2"/>
    <w:rsid w:val="001139EF"/>
    <w:rsid w:val="00120F5B"/>
    <w:rsid w:val="0014059A"/>
    <w:rsid w:val="00145897"/>
    <w:rsid w:val="00150F33"/>
    <w:rsid w:val="001666EB"/>
    <w:rsid w:val="00182593"/>
    <w:rsid w:val="001848FE"/>
    <w:rsid w:val="0018584D"/>
    <w:rsid w:val="00190445"/>
    <w:rsid w:val="001B0913"/>
    <w:rsid w:val="001B11BD"/>
    <w:rsid w:val="001B5E52"/>
    <w:rsid w:val="001B6292"/>
    <w:rsid w:val="001D198C"/>
    <w:rsid w:val="001F74B0"/>
    <w:rsid w:val="0020584B"/>
    <w:rsid w:val="00241489"/>
    <w:rsid w:val="00247146"/>
    <w:rsid w:val="002474C7"/>
    <w:rsid w:val="0025739E"/>
    <w:rsid w:val="00276681"/>
    <w:rsid w:val="00286976"/>
    <w:rsid w:val="00292D4E"/>
    <w:rsid w:val="002A75D2"/>
    <w:rsid w:val="002B058D"/>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C0793"/>
    <w:rsid w:val="003D1B26"/>
    <w:rsid w:val="003F2B66"/>
    <w:rsid w:val="003F4566"/>
    <w:rsid w:val="004162A2"/>
    <w:rsid w:val="00433FED"/>
    <w:rsid w:val="00454B98"/>
    <w:rsid w:val="00455DAD"/>
    <w:rsid w:val="00480E18"/>
    <w:rsid w:val="00482864"/>
    <w:rsid w:val="00487BC2"/>
    <w:rsid w:val="004A23A1"/>
    <w:rsid w:val="004D0CE9"/>
    <w:rsid w:val="004D5D5D"/>
    <w:rsid w:val="004D6520"/>
    <w:rsid w:val="004F22BE"/>
    <w:rsid w:val="004F4E6C"/>
    <w:rsid w:val="00507D7E"/>
    <w:rsid w:val="00520AFB"/>
    <w:rsid w:val="00522232"/>
    <w:rsid w:val="00522739"/>
    <w:rsid w:val="005361A4"/>
    <w:rsid w:val="005361B5"/>
    <w:rsid w:val="00576E8C"/>
    <w:rsid w:val="00592280"/>
    <w:rsid w:val="005946D2"/>
    <w:rsid w:val="00597044"/>
    <w:rsid w:val="005A029C"/>
    <w:rsid w:val="005C4294"/>
    <w:rsid w:val="005C7498"/>
    <w:rsid w:val="005E08F1"/>
    <w:rsid w:val="005F0806"/>
    <w:rsid w:val="006245B1"/>
    <w:rsid w:val="006415BE"/>
    <w:rsid w:val="006434A6"/>
    <w:rsid w:val="00643EDD"/>
    <w:rsid w:val="0065317C"/>
    <w:rsid w:val="0066509D"/>
    <w:rsid w:val="00665498"/>
    <w:rsid w:val="00674B99"/>
    <w:rsid w:val="00676F8B"/>
    <w:rsid w:val="00694203"/>
    <w:rsid w:val="006B4C8F"/>
    <w:rsid w:val="006C2126"/>
    <w:rsid w:val="006D07B3"/>
    <w:rsid w:val="006D593E"/>
    <w:rsid w:val="00700697"/>
    <w:rsid w:val="0070374A"/>
    <w:rsid w:val="00704964"/>
    <w:rsid w:val="00723601"/>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2315D"/>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17D1"/>
    <w:rsid w:val="009230C9"/>
    <w:rsid w:val="0093058F"/>
    <w:rsid w:val="009400AD"/>
    <w:rsid w:val="00940B07"/>
    <w:rsid w:val="00962F16"/>
    <w:rsid w:val="009818A6"/>
    <w:rsid w:val="00982443"/>
    <w:rsid w:val="00991675"/>
    <w:rsid w:val="00995DF0"/>
    <w:rsid w:val="009B1654"/>
    <w:rsid w:val="009C739B"/>
    <w:rsid w:val="009E0022"/>
    <w:rsid w:val="009E54BA"/>
    <w:rsid w:val="009F039A"/>
    <w:rsid w:val="009F0D36"/>
    <w:rsid w:val="00A00485"/>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34411"/>
    <w:rsid w:val="00B43F49"/>
    <w:rsid w:val="00B529F7"/>
    <w:rsid w:val="00B83F0F"/>
    <w:rsid w:val="00BA295D"/>
    <w:rsid w:val="00BD0A65"/>
    <w:rsid w:val="00BD6EC5"/>
    <w:rsid w:val="00BE4B86"/>
    <w:rsid w:val="00BE5AEC"/>
    <w:rsid w:val="00BF763E"/>
    <w:rsid w:val="00C14071"/>
    <w:rsid w:val="00C2530F"/>
    <w:rsid w:val="00C27949"/>
    <w:rsid w:val="00C42E5D"/>
    <w:rsid w:val="00C44001"/>
    <w:rsid w:val="00C45153"/>
    <w:rsid w:val="00C51689"/>
    <w:rsid w:val="00C54A3E"/>
    <w:rsid w:val="00C66B27"/>
    <w:rsid w:val="00C72156"/>
    <w:rsid w:val="00C77E15"/>
    <w:rsid w:val="00C81E4F"/>
    <w:rsid w:val="00CB0B05"/>
    <w:rsid w:val="00CB79DD"/>
    <w:rsid w:val="00CD5A83"/>
    <w:rsid w:val="00CD6CE2"/>
    <w:rsid w:val="00CD6D26"/>
    <w:rsid w:val="00D04323"/>
    <w:rsid w:val="00D054DE"/>
    <w:rsid w:val="00D137D7"/>
    <w:rsid w:val="00D141D2"/>
    <w:rsid w:val="00D27A10"/>
    <w:rsid w:val="00D3218A"/>
    <w:rsid w:val="00D321F2"/>
    <w:rsid w:val="00D42CF1"/>
    <w:rsid w:val="00D46CF4"/>
    <w:rsid w:val="00D52E9A"/>
    <w:rsid w:val="00D56976"/>
    <w:rsid w:val="00D6011A"/>
    <w:rsid w:val="00D8261C"/>
    <w:rsid w:val="00D96B35"/>
    <w:rsid w:val="00DA61A2"/>
    <w:rsid w:val="00DD4AA0"/>
    <w:rsid w:val="00DE54FD"/>
    <w:rsid w:val="00E15134"/>
    <w:rsid w:val="00E253C0"/>
    <w:rsid w:val="00E5700E"/>
    <w:rsid w:val="00E607DF"/>
    <w:rsid w:val="00E65B92"/>
    <w:rsid w:val="00E7175D"/>
    <w:rsid w:val="00E91DF4"/>
    <w:rsid w:val="00E92037"/>
    <w:rsid w:val="00E95B5C"/>
    <w:rsid w:val="00EA4096"/>
    <w:rsid w:val="00EA6B9C"/>
    <w:rsid w:val="00EB06F5"/>
    <w:rsid w:val="00EB20AD"/>
    <w:rsid w:val="00EC42B3"/>
    <w:rsid w:val="00EE17FE"/>
    <w:rsid w:val="00EE3D83"/>
    <w:rsid w:val="00F01404"/>
    <w:rsid w:val="00F175E2"/>
    <w:rsid w:val="00F22268"/>
    <w:rsid w:val="00F27A8D"/>
    <w:rsid w:val="00F33F45"/>
    <w:rsid w:val="00F34383"/>
    <w:rsid w:val="00F41B9E"/>
    <w:rsid w:val="00F56E13"/>
    <w:rsid w:val="00F6386E"/>
    <w:rsid w:val="00F77ACE"/>
    <w:rsid w:val="00F8613C"/>
    <w:rsid w:val="00F86BAC"/>
    <w:rsid w:val="00F90F57"/>
    <w:rsid w:val="00FA5F5B"/>
    <w:rsid w:val="00FA6051"/>
    <w:rsid w:val="00FE7E1C"/>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604656352">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yperlink" Target="http://www.courts.ca.gov/procurementservic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sa.Smith@jud.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procurementservices.htm" TargetMode="External"/><Relationship Id="rId4" Type="http://schemas.openxmlformats.org/officeDocument/2006/relationships/webSettings" Target="webSettings.xml"/><Relationship Id="rId9" Type="http://schemas.openxmlformats.org/officeDocument/2006/relationships/hyperlink" Target="mailto:Barb.lucas@accountcontrol.co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2021-12-28T21:37:00Z</dcterms:created>
  <dcterms:modified xsi:type="dcterms:W3CDTF">2021-12-28T21:37:00Z</dcterms:modified>
</cp:coreProperties>
</file>