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235A2">
          <w:rPr>
            <w:rStyle w:val="Hyperlink"/>
          </w:rPr>
          <w:t>ConferenceQ&amp;A@jud.ca.gov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287015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287015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287015">
      <w:rPr>
        <w:i/>
        <w:color w:val="FF0000"/>
        <w:sz w:val="22"/>
        <w:szCs w:val="22"/>
      </w:rPr>
      <w:t xml:space="preserve">Cow County Institute 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287015">
      <w:rPr>
        <w:i/>
        <w:color w:val="FF0000"/>
        <w:sz w:val="22"/>
        <w:szCs w:val="22"/>
      </w:rPr>
      <w:t>CRSEG195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87015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D146-22C5-4E48-ABFC-25BBCF62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5</cp:revision>
  <cp:lastPrinted>2012-10-29T18:22:00Z</cp:lastPrinted>
  <dcterms:created xsi:type="dcterms:W3CDTF">2014-07-31T16:08:00Z</dcterms:created>
  <dcterms:modified xsi:type="dcterms:W3CDTF">2016-09-01T21:25:00Z</dcterms:modified>
</cp:coreProperties>
</file>